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17688" w14:textId="77777777" w:rsidR="00F60C28" w:rsidRPr="00BF077B" w:rsidRDefault="00F60C28" w:rsidP="00BF077B">
      <w:pPr>
        <w:pStyle w:val="ATSNormal"/>
        <w:rPr>
          <w:rStyle w:val="Ttulodellibro"/>
        </w:rPr>
      </w:pPr>
    </w:p>
    <w:p w14:paraId="4A5CFE92" w14:textId="77777777" w:rsidR="00F60C28" w:rsidRDefault="00F60C28" w:rsidP="004B4A60">
      <w:pPr>
        <w:rPr>
          <w:b/>
          <w:u w:val="single"/>
          <w:lang w:val="es-ES_tradnl"/>
        </w:rPr>
      </w:pPr>
    </w:p>
    <w:p w14:paraId="6C9F0599" w14:textId="77777777" w:rsidR="00F60C28" w:rsidRDefault="00F60C28" w:rsidP="004B4A60">
      <w:pPr>
        <w:rPr>
          <w:b/>
          <w:u w:val="single"/>
          <w:lang w:val="es-ES_tradnl"/>
        </w:rPr>
      </w:pPr>
    </w:p>
    <w:p w14:paraId="2BA6ACBA" w14:textId="77777777" w:rsidR="00F60C28" w:rsidRDefault="00F60C28" w:rsidP="004B4A60">
      <w:pPr>
        <w:rPr>
          <w:b/>
          <w:u w:val="single"/>
          <w:lang w:val="es-ES_tradnl"/>
        </w:rPr>
      </w:pPr>
    </w:p>
    <w:p w14:paraId="343D3603" w14:textId="77777777" w:rsidR="00F60C28" w:rsidRDefault="00F60C28" w:rsidP="004B4A60">
      <w:pPr>
        <w:rPr>
          <w:b/>
          <w:u w:val="single"/>
          <w:lang w:val="es-ES_tradnl"/>
        </w:rPr>
      </w:pPr>
    </w:p>
    <w:p w14:paraId="2B4DCDC9" w14:textId="77777777" w:rsidR="00F60C28" w:rsidRDefault="00F60C28" w:rsidP="004B4A60">
      <w:pPr>
        <w:rPr>
          <w:b/>
          <w:u w:val="single"/>
          <w:lang w:val="es-ES_tradnl"/>
        </w:rPr>
      </w:pPr>
    </w:p>
    <w:p w14:paraId="62DC5070" w14:textId="77777777" w:rsidR="00F60C28" w:rsidRPr="0057246E" w:rsidRDefault="00F60C28" w:rsidP="001B789F">
      <w:pPr>
        <w:pStyle w:val="ATSTitle"/>
      </w:pPr>
      <w:bookmarkStart w:id="0" w:name="name"/>
      <w:r>
        <w:t xml:space="preserve">Microplastic pollution in Antarctica: a complex challenge </w:t>
      </w:r>
      <w:bookmarkEnd w:id="0"/>
    </w:p>
    <w:p w14:paraId="3906D046" w14:textId="77777777" w:rsidR="00F60C28" w:rsidRPr="0057246E" w:rsidRDefault="00F60C28" w:rsidP="00F75424">
      <w:pPr>
        <w:jc w:val="center"/>
      </w:pPr>
    </w:p>
    <w:p w14:paraId="5570E35F" w14:textId="77777777" w:rsidR="00F60C28" w:rsidRPr="002F0A13" w:rsidRDefault="00F60C28" w:rsidP="002F0A13"/>
    <w:p w14:paraId="66CF9A76" w14:textId="77777777" w:rsidR="00F60C28" w:rsidRDefault="00F60C28" w:rsidP="00F75424">
      <w:pPr>
        <w:jc w:val="center"/>
      </w:pPr>
      <w:bookmarkStart w:id="1" w:name="memo"/>
      <w:bookmarkEnd w:id="1"/>
    </w:p>
    <w:p w14:paraId="456590BC" w14:textId="77777777" w:rsidR="00F60C28" w:rsidRDefault="00F60C28" w:rsidP="00F75424">
      <w:pPr>
        <w:jc w:val="center"/>
      </w:pPr>
    </w:p>
    <w:p w14:paraId="646E5D67" w14:textId="77777777" w:rsidR="00F60C28" w:rsidRDefault="00F60C28" w:rsidP="00F75424">
      <w:pPr>
        <w:jc w:val="center"/>
      </w:pPr>
    </w:p>
    <w:p w14:paraId="790221D7" w14:textId="77777777" w:rsidR="00F60C28" w:rsidRDefault="00F60C28" w:rsidP="00F75424">
      <w:pPr>
        <w:jc w:val="center"/>
      </w:pPr>
    </w:p>
    <w:p w14:paraId="61D924BF" w14:textId="77777777" w:rsidR="00F60C28" w:rsidRPr="00C26F2D" w:rsidRDefault="00F60C28" w:rsidP="00F75424">
      <w:pPr>
        <w:jc w:val="center"/>
      </w:pPr>
    </w:p>
    <w:p w14:paraId="6263A61A" w14:textId="77777777" w:rsidR="00F60C28" w:rsidRPr="0057246E" w:rsidRDefault="00F60C28" w:rsidP="004B4A60"/>
    <w:p w14:paraId="23E810CF" w14:textId="77777777" w:rsidR="00F60C28" w:rsidRDefault="00F60C28" w:rsidP="00952E9F">
      <w:pPr>
        <w:sectPr w:rsidR="00F60C28" w:rsidSect="00D5023C">
          <w:headerReference w:type="even" r:id="rId8"/>
          <w:headerReference w:type="default" r:id="rId9"/>
          <w:footerReference w:type="even" r:id="rId10"/>
          <w:footerReference w:type="default" r:id="rId11"/>
          <w:headerReference w:type="first" r:id="rId12"/>
          <w:footerReference w:type="first" r:id="rId13"/>
          <w:pgSz w:w="11907" w:h="16840" w:code="9"/>
          <w:pgMar w:top="1134" w:right="1701" w:bottom="1134" w:left="1701" w:header="709" w:footer="709" w:gutter="0"/>
          <w:cols w:space="708"/>
          <w:docGrid w:linePitch="360"/>
        </w:sectPr>
      </w:pPr>
    </w:p>
    <w:p w14:paraId="18D9951E" w14:textId="77777777" w:rsidR="00F60C28" w:rsidRDefault="00F60C28" w:rsidP="00952E9F"/>
    <w:p w14:paraId="115C1FB6" w14:textId="77777777" w:rsidR="00F60C28" w:rsidRPr="00BB7FB5" w:rsidRDefault="00F60C28" w:rsidP="00F60C28">
      <w:pPr>
        <w:pStyle w:val="ATSHeading1"/>
        <w:rPr>
          <w:highlight w:val="white"/>
        </w:rPr>
      </w:pPr>
      <w:r>
        <w:rPr>
          <w:highlight w:val="white"/>
        </w:rPr>
        <w:t xml:space="preserve">Microplastic pollution in Antarctica: a complex challenge </w:t>
      </w:r>
    </w:p>
    <w:p w14:paraId="163941EA" w14:textId="77777777" w:rsidR="00F60C28" w:rsidRDefault="00F60C28" w:rsidP="00F60C28">
      <w:pPr>
        <w:pStyle w:val="ATSHeading2"/>
        <w:rPr>
          <w:highlight w:val="white"/>
        </w:rPr>
      </w:pPr>
      <w:r>
        <w:rPr>
          <w:highlight w:val="white"/>
        </w:rPr>
        <w:t>Summary</w:t>
      </w:r>
    </w:p>
    <w:p w14:paraId="2DA27BB6" w14:textId="77777777" w:rsidR="00F60C28" w:rsidRDefault="00F60C28" w:rsidP="00F60C28">
      <w:pPr>
        <w:pStyle w:val="ASNormal"/>
        <w:rPr>
          <w:highlight w:val="white"/>
        </w:rPr>
      </w:pPr>
      <w:r>
        <w:rPr>
          <w:highlight w:val="white"/>
        </w:rPr>
        <w:t xml:space="preserve">The Protocol on Environmental Protection to the Antarctic Treaty contains relatively limited provisions related to the prevention of plastic pollution. Five years ago, the ATCM adopted Resolution 5 (2019) on Reducing Plastic Pollution in Antarctica and the Southern Ocean. This Resolution represents a positive development, which can be expanded upon to address the growing environmental problem of plastic pollution in Antarctica. </w:t>
      </w:r>
    </w:p>
    <w:p w14:paraId="4D70B674" w14:textId="77777777" w:rsidR="00F60C28" w:rsidRPr="00BB7FB5" w:rsidRDefault="00F60C28" w:rsidP="00F60C28">
      <w:pPr>
        <w:spacing w:after="100"/>
        <w:jc w:val="both"/>
        <w:rPr>
          <w:color w:val="222222"/>
          <w:szCs w:val="22"/>
          <w:highlight w:val="white"/>
        </w:rPr>
      </w:pPr>
      <w:r w:rsidRPr="00373C1A">
        <w:rPr>
          <w:color w:val="222222"/>
          <w:szCs w:val="22"/>
          <w:highlight w:val="white"/>
        </w:rPr>
        <w:t>Additionally, ASOC recommends that the ATCM take further action to address the problem of plastic pollution in the Antarctic Treaty Area, including</w:t>
      </w:r>
      <w:r>
        <w:rPr>
          <w:color w:val="222222"/>
          <w:szCs w:val="22"/>
          <w:highlight w:val="white"/>
        </w:rPr>
        <w:t xml:space="preserve">: considering the development of an action plan on plastic pollution, considering a </w:t>
      </w:r>
      <w:r w:rsidRPr="00373C1A">
        <w:rPr>
          <w:color w:val="222222"/>
          <w:szCs w:val="22"/>
          <w:highlight w:val="white"/>
        </w:rPr>
        <w:t>review of provisions related to the management of plastic pollution in the Environmental Protocol</w:t>
      </w:r>
      <w:r>
        <w:rPr>
          <w:color w:val="222222"/>
          <w:szCs w:val="22"/>
          <w:highlight w:val="white"/>
        </w:rPr>
        <w:t>, encouraging cooperation to reduce the use of plastic in Antarctica, and supporting global initiatives to address the problem of plastic pollution.</w:t>
      </w:r>
    </w:p>
    <w:p w14:paraId="781468F6" w14:textId="77777777" w:rsidR="00F60C28" w:rsidRDefault="00F60C28" w:rsidP="00F60C28">
      <w:pPr>
        <w:pStyle w:val="ATSHeading2"/>
        <w:rPr>
          <w:highlight w:val="white"/>
        </w:rPr>
      </w:pPr>
      <w:r>
        <w:rPr>
          <w:highlight w:val="white"/>
        </w:rPr>
        <w:t>Background</w:t>
      </w:r>
    </w:p>
    <w:p w14:paraId="420BA9FE" w14:textId="77777777" w:rsidR="00F60C28" w:rsidRPr="00373C1A" w:rsidRDefault="00F60C28" w:rsidP="00F60C28">
      <w:pPr>
        <w:spacing w:after="100"/>
        <w:jc w:val="both"/>
        <w:rPr>
          <w:color w:val="222222"/>
          <w:szCs w:val="22"/>
          <w:highlight w:val="white"/>
        </w:rPr>
      </w:pPr>
      <w:r w:rsidRPr="00373C1A">
        <w:rPr>
          <w:color w:val="222222"/>
          <w:szCs w:val="22"/>
          <w:highlight w:val="white"/>
        </w:rPr>
        <w:t xml:space="preserve">The Protocol on Environmental Protection to the Antarctic Treaty contains relatively limited provisions related to the prevention of plastic pollution. Resolution 5 (2019), on Reducing Plastic Pollution in Antarctica and the Southern Ocean represents a positive development, which can be expanded upon to address the growing environmental problem of plastic pollution in Antarctica. </w:t>
      </w:r>
    </w:p>
    <w:p w14:paraId="54853C3B" w14:textId="77777777" w:rsidR="00F60C28" w:rsidRDefault="00F60C28" w:rsidP="00F60C28">
      <w:pPr>
        <w:spacing w:after="100"/>
        <w:jc w:val="both"/>
        <w:rPr>
          <w:color w:val="222222"/>
          <w:sz w:val="27"/>
          <w:szCs w:val="27"/>
          <w:highlight w:val="white"/>
        </w:rPr>
      </w:pPr>
      <w:r w:rsidRPr="00373C1A">
        <w:rPr>
          <w:color w:val="222222"/>
          <w:szCs w:val="22"/>
          <w:highlight w:val="white"/>
        </w:rPr>
        <w:t xml:space="preserve">ASOC has previously tabled papers on the issue of plastic pollution to the ATCM and CCAMLR, which summarized existing research on plastic pollution in Antarctic waters attributable to local sources. This paper focuses primarily on microplastic pollution detected in the </w:t>
      </w:r>
      <w:r>
        <w:rPr>
          <w:color w:val="222222"/>
          <w:szCs w:val="22"/>
          <w:highlight w:val="white"/>
        </w:rPr>
        <w:t>Southern Ocean and Antarctic</w:t>
      </w:r>
      <w:r w:rsidRPr="00373C1A">
        <w:rPr>
          <w:color w:val="222222"/>
          <w:szCs w:val="22"/>
          <w:highlight w:val="white"/>
        </w:rPr>
        <w:t xml:space="preserve"> ice and biota. </w:t>
      </w:r>
    </w:p>
    <w:p w14:paraId="16647DCD" w14:textId="77777777" w:rsidR="00F60C28" w:rsidRPr="00BB7FB5" w:rsidRDefault="00F60C28" w:rsidP="00F60C28">
      <w:pPr>
        <w:pStyle w:val="ATSHeading2"/>
        <w:rPr>
          <w:rFonts w:ascii="Times New Roman" w:hAnsi="Times New Roman"/>
          <w:color w:val="222222"/>
          <w:sz w:val="27"/>
          <w:szCs w:val="27"/>
          <w:highlight w:val="white"/>
        </w:rPr>
      </w:pPr>
      <w:r w:rsidRPr="00BB7FB5">
        <w:rPr>
          <w:highlight w:val="white"/>
        </w:rPr>
        <w:t>Introduction to microplastics</w:t>
      </w:r>
    </w:p>
    <w:p w14:paraId="283AD733" w14:textId="77777777" w:rsidR="00F60C28" w:rsidRDefault="00F60C28" w:rsidP="00F60C28">
      <w:pPr>
        <w:pStyle w:val="ASNormal"/>
        <w:rPr>
          <w:highlight w:val="white"/>
        </w:rPr>
      </w:pPr>
      <w:r>
        <w:rPr>
          <w:highlight w:val="white"/>
        </w:rPr>
        <w:t>Microplastics</w:t>
      </w:r>
      <w:r>
        <w:rPr>
          <w:highlight w:val="white"/>
          <w:vertAlign w:val="superscript"/>
        </w:rPr>
        <w:footnoteReference w:id="1"/>
      </w:r>
      <w:r>
        <w:rPr>
          <w:highlight w:val="white"/>
        </w:rPr>
        <w:t xml:space="preserve"> are pieces of plastic which are smaller than 5mm in diameter, but larger than 1 micrometer (µm). They are a type of synthetic polymer, which was first identified and described in the 1960s (GESAMP, 2015) and have since been detected in the ocean, atmosphere, and the digestive tracts and feces of living organisms. </w:t>
      </w:r>
    </w:p>
    <w:p w14:paraId="745E7C11" w14:textId="77777777" w:rsidR="00F60C28" w:rsidRPr="00373C1A" w:rsidRDefault="00F60C28" w:rsidP="00F60C28">
      <w:pPr>
        <w:pStyle w:val="ASNormal"/>
        <w:rPr>
          <w:b/>
          <w:highlight w:val="white"/>
        </w:rPr>
      </w:pPr>
      <w:r w:rsidRPr="00D22C7E">
        <w:rPr>
          <w:highlight w:val="white"/>
        </w:rPr>
        <w:t xml:space="preserve">Microplastics come from a range of marine and terrestrial sources, including wastewater, which may contain microplastic fibers and fragments from laundry water and microbeads from personal hygiene products. They also originate from the breakdown of larger macroplastic items, such as abandoned, lost, or discarded fishing gear, marine plastic pellets, ropes, paints, and antifouling systems </w:t>
      </w:r>
      <w:r>
        <w:rPr>
          <w:highlight w:val="white"/>
        </w:rPr>
        <w:t xml:space="preserve">(Yang et al., 2021). </w:t>
      </w:r>
    </w:p>
    <w:p w14:paraId="67CA8F62" w14:textId="77777777" w:rsidR="00F60C28" w:rsidRPr="00373C1A" w:rsidRDefault="00F60C28" w:rsidP="00F60C28">
      <w:pPr>
        <w:pStyle w:val="ATSHeading2"/>
        <w:rPr>
          <w:highlight w:val="white"/>
        </w:rPr>
      </w:pPr>
      <w:r>
        <w:rPr>
          <w:highlight w:val="white"/>
        </w:rPr>
        <w:t>Microplastic pollution in Antarctica</w:t>
      </w:r>
    </w:p>
    <w:p w14:paraId="60EBA281" w14:textId="77777777" w:rsidR="00F60C28" w:rsidRPr="00373C1A" w:rsidRDefault="00F60C28" w:rsidP="00F60C28">
      <w:pPr>
        <w:pStyle w:val="ASNormal"/>
        <w:rPr>
          <w:highlight w:val="white"/>
        </w:rPr>
      </w:pPr>
      <w:r>
        <w:rPr>
          <w:highlight w:val="white"/>
        </w:rPr>
        <w:t xml:space="preserve">The presence of microplastics in the Southern Ocean, Antarctic snow and ice, and the digestive tracts and feces of seabirds has been well-documented in recent years. Scientific research has identified microplastic pollution in: coastal seawater samples collected in the Antarctic Peninsula region (Lacerda et al., 2019), snow samples in the Ross Island region (Aves et al, 2022), and 15-30% of tested faecal samples from penguin species (Adélie, king, gentoo and </w:t>
      </w:r>
      <w:r>
        <w:rPr>
          <w:highlight w:val="white"/>
        </w:rPr>
        <w:lastRenderedPageBreak/>
        <w:t xml:space="preserve">chinstrap) across the Antarctic and sub-Antarctic (Fragão et al, 2021). High concentrations of microplastics have also been found every sample of </w:t>
      </w:r>
      <w:r>
        <w:rPr>
          <w:i/>
          <w:highlight w:val="white"/>
        </w:rPr>
        <w:t>Laternula elliptica,</w:t>
      </w:r>
      <w:r>
        <w:rPr>
          <w:highlight w:val="white"/>
        </w:rPr>
        <w:t xml:space="preserve"> a species of clam, tested in the waters around King George Island, in the South Shetland Islands</w:t>
      </w:r>
      <w:r>
        <w:rPr>
          <w:i/>
          <w:highlight w:val="white"/>
        </w:rPr>
        <w:t xml:space="preserve"> </w:t>
      </w:r>
      <w:r>
        <w:rPr>
          <w:highlight w:val="white"/>
        </w:rPr>
        <w:t xml:space="preserve">(González-Aravena et al, 2024). A synthesis of scientific literature from the late 1980s to 2023 on the ingestion of micro and nanoplastics by seabirds from polar regions reported that of the 756 Antarctic birds sampled, 97% had at least one microplastic fragment or fibre in their stomach contents or pellets (regurgitated undigested food), with 100% of pellet samples containing microplastics. </w:t>
      </w:r>
    </w:p>
    <w:p w14:paraId="4AC60B06" w14:textId="77777777" w:rsidR="00F60C28" w:rsidRPr="00BB7FB5" w:rsidRDefault="00F60C28" w:rsidP="00F60C28">
      <w:pPr>
        <w:pStyle w:val="ATSHeading2"/>
      </w:pPr>
      <w:r>
        <w:t>Impacts of microplastics on Antarctic biota</w:t>
      </w:r>
    </w:p>
    <w:p w14:paraId="2AA1CF0E" w14:textId="77777777" w:rsidR="00F60C28" w:rsidRDefault="00F60C28" w:rsidP="00F60C28">
      <w:pPr>
        <w:pStyle w:val="ASNormal"/>
        <w:rPr>
          <w:highlight w:val="white"/>
        </w:rPr>
      </w:pPr>
      <w:r>
        <w:rPr>
          <w:highlight w:val="white"/>
        </w:rPr>
        <w:t xml:space="preserve">Microplastics can be ingested by living organisms, with planktonic suspension and filter feeders, such as Antarctic krill, identified as particularly vulnerable due to their method of feeding (Dawson et al., 2018). </w:t>
      </w:r>
      <w:r>
        <w:rPr>
          <w:color w:val="1A1A1A"/>
          <w:highlight w:val="white"/>
        </w:rPr>
        <w:t xml:space="preserve">This may be exacerbated by sea ice dynamics, which could further encourage the uptake of microplastics by algae and Antarctic krill </w:t>
      </w:r>
      <w:r>
        <w:t xml:space="preserve">(Rota et al., 2022). </w:t>
      </w:r>
      <w:r>
        <w:rPr>
          <w:highlight w:val="white"/>
        </w:rPr>
        <w:t xml:space="preserve">Once ingested, microplastics can have toxicological effects on keystone species, with impacts that affect entire marine ecosystems, including through bioaccumulation and biomagnification (Waller et al., 2017). Microplastics may also act as a vector for pathogenic bacteria (Caruso et al., 2022), and can further degrade to become nanoplastics. </w:t>
      </w:r>
    </w:p>
    <w:p w14:paraId="1C9118D1" w14:textId="77777777" w:rsidR="00F60C28" w:rsidRPr="00373C1A" w:rsidRDefault="00F60C28" w:rsidP="00F60C28">
      <w:pPr>
        <w:pStyle w:val="ASNormal"/>
        <w:rPr>
          <w:highlight w:val="white"/>
        </w:rPr>
      </w:pPr>
      <w:r>
        <w:rPr>
          <w:highlight w:val="white"/>
        </w:rPr>
        <w:t>Nanoplastics (&lt; 1 µm) are the most recently reported type of minuscule plastic pollution in Antarctica</w:t>
      </w:r>
      <w:r>
        <w:rPr>
          <w:highlight w:val="white"/>
          <w:vertAlign w:val="superscript"/>
        </w:rPr>
        <w:footnoteReference w:id="2"/>
      </w:r>
      <w:r>
        <w:rPr>
          <w:highlight w:val="white"/>
        </w:rPr>
        <w:t>. They can cross biological barriers due to their size and high surface reactivity, with adverse toxicological effects. It</w:t>
      </w:r>
      <w:r>
        <w:rPr>
          <w:color w:val="1A1A1A"/>
          <w:highlight w:val="white"/>
        </w:rPr>
        <w:t xml:space="preserve"> is likely that the unique and extreme environment of the Southern Ocean contributes to the rapid breakdown of macroplastics into micro and nanoplastics, increasing their potential risk to Antarctic species and ecosystems (SCAR 2023). </w:t>
      </w:r>
      <w:r>
        <w:rPr>
          <w:highlight w:val="white"/>
        </w:rPr>
        <w:t xml:space="preserve">Furthermore, research suggests that the digestive processes of Antarctic krill may play a role in the degradation of microplastics to nanoplastics (Dawson et al., 2018). </w:t>
      </w:r>
    </w:p>
    <w:p w14:paraId="0571BD68" w14:textId="77777777" w:rsidR="00F60C28" w:rsidRDefault="00F60C28" w:rsidP="00F60C28">
      <w:pPr>
        <w:pStyle w:val="ATSHeading2"/>
        <w:rPr>
          <w:highlight w:val="white"/>
        </w:rPr>
      </w:pPr>
      <w:r>
        <w:rPr>
          <w:highlight w:val="white"/>
        </w:rPr>
        <w:t>Plastic pollution and the ATCM: the current approach</w:t>
      </w:r>
    </w:p>
    <w:p w14:paraId="777BEA16" w14:textId="77777777" w:rsidR="00F60C28" w:rsidRDefault="00F60C28" w:rsidP="00F60C28">
      <w:pPr>
        <w:pStyle w:val="ASNormal"/>
        <w:rPr>
          <w:highlight w:val="white"/>
        </w:rPr>
      </w:pPr>
      <w:r>
        <w:rPr>
          <w:highlight w:val="white"/>
        </w:rPr>
        <w:t xml:space="preserve">Some plastic fibers and debris detected in the Antarctic environment originate from distant sources (Isobe et al. 2017) and microplastics are known to travel in air and dust clouds from land and over sea (Cunningham et al., 2022). However, a recent paper reports that local operations, such as research stations, tourism, fishing and research vessels, are the most significant sources of plastic pollution in Antarctica (Primpke et al, 2024). </w:t>
      </w:r>
    </w:p>
    <w:p w14:paraId="67D04DBE" w14:textId="77777777" w:rsidR="00F60C28" w:rsidRDefault="00F60C28" w:rsidP="00F60C28">
      <w:pPr>
        <w:pStyle w:val="ASNormal"/>
        <w:rPr>
          <w:highlight w:val="white"/>
        </w:rPr>
      </w:pPr>
      <w:r>
        <w:rPr>
          <w:highlight w:val="white"/>
        </w:rPr>
        <w:t xml:space="preserve">The Environmental Protocol contains some provisions of relevance to plastic pollution: </w:t>
      </w:r>
    </w:p>
    <w:p w14:paraId="3D4366B0" w14:textId="77777777" w:rsidR="00F60C28" w:rsidRPr="00D22C7E" w:rsidRDefault="00F60C28" w:rsidP="00F60C28">
      <w:pPr>
        <w:pStyle w:val="ATSBullet1"/>
        <w:numPr>
          <w:ilvl w:val="0"/>
          <w:numId w:val="11"/>
        </w:numPr>
        <w:rPr>
          <w:highlight w:val="white"/>
        </w:rPr>
      </w:pPr>
      <w:r w:rsidRPr="00D22C7E">
        <w:rPr>
          <w:highlight w:val="white"/>
        </w:rPr>
        <w:t xml:space="preserve">Annex III on Waste Disposal and Management, requires removal of plastic wastes from the Antarctic Treaty Area (Article 2). </w:t>
      </w:r>
    </w:p>
    <w:p w14:paraId="5DC740A8" w14:textId="77777777" w:rsidR="00F60C28" w:rsidRPr="00D22C7E" w:rsidRDefault="00F60C28" w:rsidP="00F60C28">
      <w:pPr>
        <w:pStyle w:val="ATSBullet1"/>
        <w:numPr>
          <w:ilvl w:val="0"/>
          <w:numId w:val="11"/>
        </w:numPr>
        <w:rPr>
          <w:highlight w:val="white"/>
        </w:rPr>
      </w:pPr>
      <w:r w:rsidRPr="00D22C7E">
        <w:rPr>
          <w:highlight w:val="white"/>
        </w:rPr>
        <w:t>Annex IV on Marine Pollution, which:</w:t>
      </w:r>
    </w:p>
    <w:p w14:paraId="40085B40" w14:textId="77777777" w:rsidR="00F60C28" w:rsidRDefault="00F60C28" w:rsidP="00F60C28">
      <w:pPr>
        <w:pStyle w:val="ATSBullet1"/>
        <w:numPr>
          <w:ilvl w:val="1"/>
          <w:numId w:val="11"/>
        </w:numPr>
        <w:rPr>
          <w:highlight w:val="white"/>
        </w:rPr>
      </w:pPr>
      <w:r>
        <w:rPr>
          <w:highlight w:val="white"/>
        </w:rPr>
        <w:t>specifically prohibits the disposal from ships into the sea of all plastics, including but not limited to synthetic ropes, synthetic fishing nets and plastic garbage bags (Article 5, 1), and</w:t>
      </w:r>
    </w:p>
    <w:p w14:paraId="1BA18782" w14:textId="77777777" w:rsidR="00F60C28" w:rsidRDefault="00F60C28" w:rsidP="00F60C28">
      <w:pPr>
        <w:pStyle w:val="ATSBullet1"/>
        <w:numPr>
          <w:ilvl w:val="1"/>
          <w:numId w:val="11"/>
        </w:numPr>
        <w:rPr>
          <w:highlight w:val="white"/>
        </w:rPr>
      </w:pPr>
      <w:r>
        <w:rPr>
          <w:highlight w:val="white"/>
        </w:rPr>
        <w:t>prohibits untreated wastewater discharges from vessels within 12 nautical miles of the coast (Article 6, 1a)</w:t>
      </w:r>
      <w:r>
        <w:rPr>
          <w:highlight w:val="white"/>
          <w:vertAlign w:val="superscript"/>
        </w:rPr>
        <w:footnoteReference w:id="3"/>
      </w:r>
      <w:r>
        <w:rPr>
          <w:highlight w:val="white"/>
        </w:rPr>
        <w:t>.</w:t>
      </w:r>
    </w:p>
    <w:p w14:paraId="1ED8573A" w14:textId="77777777" w:rsidR="00F60C28" w:rsidRDefault="00F60C28" w:rsidP="00F60C28">
      <w:pPr>
        <w:pStyle w:val="ATSBullet1"/>
        <w:numPr>
          <w:ilvl w:val="0"/>
          <w:numId w:val="11"/>
        </w:numPr>
        <w:rPr>
          <w:highlight w:val="white"/>
        </w:rPr>
      </w:pPr>
      <w:r>
        <w:rPr>
          <w:highlight w:val="white"/>
        </w:rPr>
        <w:t>More generally: Annex I, Environmental Impact Assessment (EIA), requires Parties to undertake EIAs for all activities within the Antarctic Treaty area, including the implementation of measures to mitigate impacts.</w:t>
      </w:r>
    </w:p>
    <w:p w14:paraId="6C970D1B" w14:textId="77777777" w:rsidR="00F60C28" w:rsidRDefault="00F60C28" w:rsidP="00F60C28">
      <w:pPr>
        <w:pStyle w:val="ASNormal"/>
        <w:rPr>
          <w:highlight w:val="white"/>
        </w:rPr>
      </w:pPr>
      <w:r>
        <w:rPr>
          <w:highlight w:val="white"/>
        </w:rPr>
        <w:lastRenderedPageBreak/>
        <w:t xml:space="preserve">The relatively limited scope of these provisions may reflect the fact that the Environmental Protocol was adopted before the complexities and magnitude of plastic pollution were understood. </w:t>
      </w:r>
    </w:p>
    <w:p w14:paraId="79DEB81F" w14:textId="77777777" w:rsidR="00F60C28" w:rsidRDefault="00F60C28" w:rsidP="00F60C28">
      <w:pPr>
        <w:pStyle w:val="ASNormal"/>
        <w:rPr>
          <w:highlight w:val="white"/>
        </w:rPr>
      </w:pPr>
      <w:r>
        <w:rPr>
          <w:highlight w:val="white"/>
        </w:rPr>
        <w:t>A WP submitted to the ATCM by the United Kingdom in 2019 stated that “based on estimated levels, microplastic pollution released into the Antarctic Treaty area from ships and scientific research stations are likely to be negligible at the scale of the Southern Ocean. However, levels of microplastic pollution may be</w:t>
      </w:r>
      <w:r>
        <w:rPr>
          <w:b/>
          <w:highlight w:val="white"/>
        </w:rPr>
        <w:t xml:space="preserve"> </w:t>
      </w:r>
      <w:r>
        <w:rPr>
          <w:highlight w:val="white"/>
        </w:rPr>
        <w:t>significant on a local scale, for example, in the vicinity of research stations” (Munari et al., 2017; Waller et al., 2017; Reed et al 2018 cited in UK WP 2019).</w:t>
      </w:r>
    </w:p>
    <w:p w14:paraId="704A6C14" w14:textId="77777777" w:rsidR="00F60C28" w:rsidRPr="00BB7FB5" w:rsidRDefault="00F60C28" w:rsidP="00F60C28">
      <w:pPr>
        <w:pStyle w:val="ASNormal"/>
        <w:rPr>
          <w:highlight w:val="white"/>
        </w:rPr>
      </w:pPr>
      <w:r>
        <w:rPr>
          <w:highlight w:val="white"/>
        </w:rPr>
        <w:t xml:space="preserve">In 2019, acknowledging the responsibility to protect Antarctica from plastic pollution, the ATCM adopted Resolution 5 (2019) on Reducing Plastic Pollution in Antarctica and the Southern Ocean. The Resolution recommends </w:t>
      </w:r>
      <w:r>
        <w:rPr>
          <w:i/>
          <w:highlight w:val="white"/>
        </w:rPr>
        <w:t>inter alia</w:t>
      </w:r>
      <w:r>
        <w:rPr>
          <w:highlight w:val="white"/>
        </w:rPr>
        <w:t xml:space="preserve"> reductions in the use of personal care products containing microplastic beads, information exchanges between Parties on minimizing microplastics in wastewater, and invites SCAR to report on new information about the presence and risks of plastic pollution. It calls for greater monitoring of plastic pollution in Antarctica and recommends that the issue of microplastic release be considered in connection with any possible future revisions of Annexes III and IV to the Protocol on Environmental Protection.</w:t>
      </w:r>
    </w:p>
    <w:p w14:paraId="72212DFA" w14:textId="77777777" w:rsidR="00F60C28" w:rsidRPr="00373C1A" w:rsidRDefault="00F60C28" w:rsidP="00F60C28">
      <w:pPr>
        <w:pStyle w:val="ATSHeading2"/>
      </w:pPr>
      <w:r w:rsidRPr="00373C1A">
        <w:t>Current Practices in Antarctica</w:t>
      </w:r>
    </w:p>
    <w:p w14:paraId="7DEDD39E" w14:textId="77777777" w:rsidR="00F60C28" w:rsidRDefault="00F60C28" w:rsidP="00F60C28">
      <w:pPr>
        <w:pStyle w:val="ASNormal"/>
        <w:rPr>
          <w:highlight w:val="white"/>
        </w:rPr>
      </w:pPr>
      <w:r>
        <w:rPr>
          <w:highlight w:val="white"/>
        </w:rPr>
        <w:t xml:space="preserve">Commercial fishing and tour operators in the Antarctic are taking positive steps to reduce their plastic pollution. Some fishing vessels have installed laundry filters to prevent the discharge of microplastic fibers in </w:t>
      </w:r>
      <w:r w:rsidRPr="00BB7FB5">
        <w:t>laundry water (</w:t>
      </w:r>
      <w:r>
        <w:t>ASOC and COLTO 2018</w:t>
      </w:r>
      <w:r w:rsidRPr="00BB7FB5">
        <w:t xml:space="preserve">). </w:t>
      </w:r>
      <w:r>
        <w:rPr>
          <w:highlight w:val="white"/>
        </w:rPr>
        <w:t xml:space="preserve">IAATO is working to eliminate plastics from its members’ operations, adding the CCAMLR Marine Debris Form and ATCM Resolution 5 (2019) to their Field Operations Manual, and creating new guidelines for visitors about reducing waste while traveling. </w:t>
      </w:r>
    </w:p>
    <w:p w14:paraId="27DC41B8" w14:textId="77777777" w:rsidR="00F60C28" w:rsidRDefault="00F60C28" w:rsidP="00F60C28">
      <w:pPr>
        <w:pStyle w:val="ASNormal"/>
        <w:rPr>
          <w:highlight w:val="white"/>
        </w:rPr>
      </w:pPr>
      <w:r>
        <w:rPr>
          <w:highlight w:val="white"/>
        </w:rPr>
        <w:t>Members of the Council of Managers of National Antarctic Programs (COMNAP) have also taken steps to address this issue. COMNAP’s Environmental Protection Expert Group has published recommendations to reduce the use of unnecessary plastic in the Treaty Area, such as banning personal care products containing microplastics and exploring ways to prevent microplastics from clothing from entering the Antarctic environment.</w:t>
      </w:r>
    </w:p>
    <w:p w14:paraId="47D20A48" w14:textId="77777777" w:rsidR="00F60C28" w:rsidRDefault="00F60C28" w:rsidP="00F60C28">
      <w:pPr>
        <w:pStyle w:val="ASNormal"/>
        <w:rPr>
          <w:highlight w:val="white"/>
        </w:rPr>
      </w:pPr>
    </w:p>
    <w:p w14:paraId="5FE14F36" w14:textId="77777777" w:rsidR="00F60C28" w:rsidRDefault="00F60C28" w:rsidP="00F60C28">
      <w:pPr>
        <w:pStyle w:val="ASNormal"/>
        <w:rPr>
          <w:highlight w:val="white"/>
        </w:rPr>
      </w:pPr>
    </w:p>
    <w:p w14:paraId="61A8A966" w14:textId="77777777" w:rsidR="00F60C28" w:rsidRDefault="00F60C28" w:rsidP="00F60C28">
      <w:pPr>
        <w:pStyle w:val="ASNormal"/>
        <w:rPr>
          <w:highlight w:val="white"/>
        </w:rPr>
      </w:pPr>
    </w:p>
    <w:p w14:paraId="1E77A5A5" w14:textId="77777777" w:rsidR="00F60C28" w:rsidRPr="00373C1A" w:rsidRDefault="00F60C28" w:rsidP="00F60C28">
      <w:pPr>
        <w:pStyle w:val="ATSHeading2"/>
      </w:pPr>
      <w:r>
        <w:t>Global regulation of plastic pollution</w:t>
      </w:r>
    </w:p>
    <w:p w14:paraId="6F1A5A85" w14:textId="77777777" w:rsidR="00F60C28" w:rsidRPr="00373C1A" w:rsidRDefault="00F60C28" w:rsidP="00F60C28">
      <w:pPr>
        <w:pStyle w:val="ASNormal"/>
        <w:rPr>
          <w:highlight w:val="white"/>
        </w:rPr>
      </w:pPr>
      <w:r w:rsidRPr="00373C1A">
        <w:rPr>
          <w:highlight w:val="white"/>
        </w:rPr>
        <w:t>There are two notable international efforts currently in progress to address the global problem of plastic pollution. In 2021 the International Maritime Organization’s (IMO’s) Marine Environment Protection Committee (MEPC) adopted a Strategy to reduce marine plastic pollution from ships, with a vision of achieving “zero plastic waste discharges to sea from ships by 2025</w:t>
      </w:r>
      <w:r>
        <w:rPr>
          <w:highlight w:val="white"/>
        </w:rPr>
        <w:t>.</w:t>
      </w:r>
      <w:r w:rsidRPr="00373C1A">
        <w:rPr>
          <w:highlight w:val="white"/>
        </w:rPr>
        <w:t>”</w:t>
      </w:r>
      <w:r w:rsidRPr="00A76F58">
        <w:rPr>
          <w:highlight w:val="white"/>
          <w:vertAlign w:val="superscript"/>
        </w:rPr>
        <w:footnoteReference w:id="4"/>
      </w:r>
    </w:p>
    <w:p w14:paraId="610F8744" w14:textId="77777777" w:rsidR="00F60C28" w:rsidRPr="00373C1A" w:rsidRDefault="00F60C28" w:rsidP="00F60C28">
      <w:pPr>
        <w:pStyle w:val="ASNormal"/>
        <w:rPr>
          <w:highlight w:val="white"/>
        </w:rPr>
      </w:pPr>
      <w:r w:rsidRPr="00373C1A">
        <w:rPr>
          <w:highlight w:val="white"/>
        </w:rPr>
        <w:t xml:space="preserve">In March 2022 the United Nations Environment Assembly (UNEA) adopted a Resolution to establish a legally binding </w:t>
      </w:r>
      <w:r>
        <w:rPr>
          <w:highlight w:val="white"/>
        </w:rPr>
        <w:t>G</w:t>
      </w:r>
      <w:r w:rsidRPr="00373C1A">
        <w:rPr>
          <w:highlight w:val="white"/>
        </w:rPr>
        <w:t>lobal</w:t>
      </w:r>
      <w:r>
        <w:rPr>
          <w:highlight w:val="white"/>
        </w:rPr>
        <w:t xml:space="preserve"> P</w:t>
      </w:r>
      <w:r w:rsidRPr="00373C1A">
        <w:rPr>
          <w:highlight w:val="white"/>
        </w:rPr>
        <w:t xml:space="preserve">lastics </w:t>
      </w:r>
      <w:r>
        <w:rPr>
          <w:highlight w:val="white"/>
        </w:rPr>
        <w:t>Tr</w:t>
      </w:r>
      <w:r w:rsidRPr="00373C1A">
        <w:rPr>
          <w:highlight w:val="white"/>
        </w:rPr>
        <w:t xml:space="preserve">eaty by the end of 2024. An Intergovernmental Negotiating Committee (INC) has begun work to produce a draft of the </w:t>
      </w:r>
      <w:r>
        <w:rPr>
          <w:highlight w:val="white"/>
        </w:rPr>
        <w:t>T</w:t>
      </w:r>
      <w:r w:rsidRPr="00373C1A">
        <w:rPr>
          <w:highlight w:val="white"/>
        </w:rPr>
        <w:t xml:space="preserve">reaty, which is scheduled to be complete in December 2024. This commitment to the development of a Global Plastic Treaty indicates the importance of this issue as a global environmental threat that requires focused and determined action. </w:t>
      </w:r>
    </w:p>
    <w:p w14:paraId="2BC52BB9" w14:textId="77777777" w:rsidR="00F60C28" w:rsidRDefault="00F60C28" w:rsidP="00F60C28">
      <w:pPr>
        <w:pStyle w:val="ATSHeading2"/>
        <w:rPr>
          <w:highlight w:val="white"/>
        </w:rPr>
      </w:pPr>
      <w:r>
        <w:rPr>
          <w:highlight w:val="white"/>
        </w:rPr>
        <w:lastRenderedPageBreak/>
        <w:t>Conclusion and recommendations</w:t>
      </w:r>
    </w:p>
    <w:p w14:paraId="462B20E3" w14:textId="77777777" w:rsidR="00F60C28" w:rsidRPr="00BB7FB5" w:rsidRDefault="00F60C28" w:rsidP="00F60C28">
      <w:pPr>
        <w:pStyle w:val="ASNormal"/>
        <w:rPr>
          <w:highlight w:val="white"/>
        </w:rPr>
      </w:pPr>
      <w:r>
        <w:rPr>
          <w:highlight w:val="white"/>
        </w:rPr>
        <w:t>Plastic pollution poses a serious, emerging threat to Antarctic and Southern Ocean ecosystems, particularly through the poorly understood pathways of ingestion, bioaccumulation, and biomagnification of microplastics and nanoplastics. More information is needed to understand the real impact of plastic pollution in Antarctica, as well as its sources, however this should not be a reason for delayed action. Precautionary action may be required.</w:t>
      </w:r>
    </w:p>
    <w:p w14:paraId="7F9985A5" w14:textId="77777777" w:rsidR="00F60C28" w:rsidRDefault="00F60C28" w:rsidP="00F60C28">
      <w:pPr>
        <w:spacing w:after="100"/>
        <w:rPr>
          <w:color w:val="222222"/>
          <w:szCs w:val="22"/>
          <w:highlight w:val="white"/>
        </w:rPr>
      </w:pPr>
      <w:r w:rsidRPr="00373C1A">
        <w:rPr>
          <w:color w:val="222222"/>
          <w:szCs w:val="22"/>
          <w:highlight w:val="white"/>
        </w:rPr>
        <w:t xml:space="preserve">ASOC </w:t>
      </w:r>
      <w:r>
        <w:rPr>
          <w:color w:val="222222"/>
          <w:szCs w:val="22"/>
          <w:highlight w:val="white"/>
        </w:rPr>
        <w:t>therefore recommends that ATCPs:</w:t>
      </w:r>
    </w:p>
    <w:p w14:paraId="3FA8FB56" w14:textId="77777777" w:rsidR="00F60C28" w:rsidRDefault="00F60C28" w:rsidP="00F60C28">
      <w:pPr>
        <w:pStyle w:val="Prrafodelista"/>
        <w:numPr>
          <w:ilvl w:val="0"/>
          <w:numId w:val="21"/>
        </w:numPr>
        <w:rPr>
          <w:color w:val="222222"/>
          <w:szCs w:val="22"/>
          <w:highlight w:val="white"/>
        </w:rPr>
      </w:pPr>
      <w:r w:rsidRPr="00BB7FB5">
        <w:rPr>
          <w:color w:val="222222"/>
          <w:szCs w:val="22"/>
          <w:highlight w:val="white"/>
        </w:rPr>
        <w:t>Consider the development of an action plan on plastic pollution, including microplastics from both land-based and ship-based sources</w:t>
      </w:r>
      <w:r>
        <w:rPr>
          <w:color w:val="222222"/>
          <w:szCs w:val="22"/>
          <w:highlight w:val="white"/>
        </w:rPr>
        <w:t xml:space="preserve">. </w:t>
      </w:r>
    </w:p>
    <w:p w14:paraId="50BED766" w14:textId="77777777" w:rsidR="00F60C28" w:rsidRDefault="00F60C28" w:rsidP="00F60C28">
      <w:pPr>
        <w:pStyle w:val="Prrafodelista"/>
        <w:numPr>
          <w:ilvl w:val="0"/>
          <w:numId w:val="21"/>
        </w:numPr>
        <w:rPr>
          <w:color w:val="222222"/>
          <w:szCs w:val="22"/>
          <w:highlight w:val="white"/>
        </w:rPr>
      </w:pPr>
      <w:r w:rsidRPr="00BB7FB5">
        <w:rPr>
          <w:color w:val="222222"/>
          <w:szCs w:val="22"/>
          <w:highlight w:val="white"/>
        </w:rPr>
        <w:t>Encourage stakeholders to exchange information on current policies and practices being implemented at the national level to reduce the use and disposal of plastic in Antarctica and the Southern Ocean.</w:t>
      </w:r>
      <w:r w:rsidRPr="00373C1A">
        <w:rPr>
          <w:color w:val="222222"/>
          <w:szCs w:val="22"/>
          <w:highlight w:val="white"/>
        </w:rPr>
        <w:t xml:space="preserve"> </w:t>
      </w:r>
    </w:p>
    <w:p w14:paraId="445A56FF" w14:textId="77777777" w:rsidR="00F60C28" w:rsidRPr="00373C1A" w:rsidRDefault="00F60C28" w:rsidP="00F60C28">
      <w:pPr>
        <w:numPr>
          <w:ilvl w:val="0"/>
          <w:numId w:val="21"/>
        </w:numPr>
        <w:rPr>
          <w:color w:val="222222"/>
          <w:szCs w:val="22"/>
          <w:highlight w:val="white"/>
        </w:rPr>
      </w:pPr>
      <w:r w:rsidRPr="00373C1A">
        <w:rPr>
          <w:color w:val="222222"/>
          <w:szCs w:val="22"/>
          <w:highlight w:val="white"/>
        </w:rPr>
        <w:t>Consider a review of provisions related to the reduction of plastic pollution in the Environmental Protocol.</w:t>
      </w:r>
    </w:p>
    <w:p w14:paraId="58C8408A" w14:textId="77777777" w:rsidR="00F60C28" w:rsidRPr="00BF3C01" w:rsidRDefault="00F60C28" w:rsidP="00F60C28">
      <w:pPr>
        <w:numPr>
          <w:ilvl w:val="0"/>
          <w:numId w:val="21"/>
        </w:numPr>
        <w:rPr>
          <w:color w:val="222222"/>
          <w:szCs w:val="22"/>
          <w:highlight w:val="white"/>
        </w:rPr>
      </w:pPr>
      <w:r w:rsidRPr="00373C1A">
        <w:rPr>
          <w:color w:val="222222"/>
          <w:szCs w:val="22"/>
          <w:highlight w:val="white"/>
        </w:rPr>
        <w:t>Support global initiatives to address the problem of plastic pollution, including the IMO Strategy to reduce marine plastic pollution from ships</w:t>
      </w:r>
      <w:r>
        <w:rPr>
          <w:color w:val="222222"/>
          <w:szCs w:val="22"/>
          <w:highlight w:val="white"/>
        </w:rPr>
        <w:t>.</w:t>
      </w:r>
    </w:p>
    <w:p w14:paraId="1560C80D" w14:textId="77777777" w:rsidR="00F60C28" w:rsidRDefault="00F60C28" w:rsidP="00F60C28">
      <w:pPr>
        <w:pStyle w:val="ATSHeading2"/>
        <w:jc w:val="left"/>
        <w:rPr>
          <w:highlight w:val="white"/>
        </w:rPr>
      </w:pPr>
      <w:r>
        <w:rPr>
          <w:highlight w:val="white"/>
        </w:rPr>
        <w:t>References</w:t>
      </w:r>
    </w:p>
    <w:p w14:paraId="3CE74D00" w14:textId="77777777" w:rsidR="00F60C28" w:rsidRPr="00A76F58" w:rsidRDefault="00F60C28" w:rsidP="00F60C28">
      <w:pPr>
        <w:ind w:firstLine="720"/>
        <w:rPr>
          <w:color w:val="222222"/>
          <w:szCs w:val="22"/>
          <w:highlight w:val="white"/>
        </w:rPr>
      </w:pPr>
      <w:r w:rsidRPr="00A76F58">
        <w:rPr>
          <w:color w:val="222222"/>
          <w:szCs w:val="22"/>
          <w:highlight w:val="white"/>
        </w:rPr>
        <w:t xml:space="preserve">ASOC and COLTO (2018). Responding to the emerging threat of microplastics in the Southern Ocean. </w:t>
      </w:r>
      <w:r w:rsidRPr="00A76F58">
        <w:rPr>
          <w:szCs w:val="22"/>
          <w:lang w:val="en-US" w:eastAsia="es-AR"/>
        </w:rPr>
        <w:t xml:space="preserve">SC-CAMLR-XXXVII/BG/18. </w:t>
      </w:r>
    </w:p>
    <w:p w14:paraId="1081CE46" w14:textId="77777777" w:rsidR="00F60C28" w:rsidRPr="00A76F58" w:rsidRDefault="00F60C28" w:rsidP="00F60C28">
      <w:pPr>
        <w:ind w:firstLine="720"/>
        <w:rPr>
          <w:color w:val="222222"/>
          <w:szCs w:val="22"/>
          <w:highlight w:val="white"/>
        </w:rPr>
      </w:pPr>
      <w:r w:rsidRPr="00A76F58">
        <w:rPr>
          <w:color w:val="222222"/>
          <w:szCs w:val="22"/>
          <w:highlight w:val="white"/>
        </w:rPr>
        <w:t xml:space="preserve">Aves, A. R., Revell, L. E., Gaw, S., Ruffell, H., Schuddeboom, A., Wotherspoon, N. E., LaRue, M., &amp; McDonald, A. J. (2022). First evidence of microplastics in Antarctic Snow. </w:t>
      </w:r>
      <w:r w:rsidRPr="00A76F58">
        <w:rPr>
          <w:i/>
          <w:color w:val="222222"/>
          <w:szCs w:val="22"/>
          <w:highlight w:val="white"/>
        </w:rPr>
        <w:t>The Cryosphere</w:t>
      </w:r>
      <w:r w:rsidRPr="00A76F58">
        <w:rPr>
          <w:color w:val="222222"/>
          <w:szCs w:val="22"/>
          <w:highlight w:val="white"/>
        </w:rPr>
        <w:t xml:space="preserve">, </w:t>
      </w:r>
      <w:r w:rsidRPr="00A76F58">
        <w:rPr>
          <w:i/>
          <w:color w:val="222222"/>
          <w:szCs w:val="22"/>
          <w:highlight w:val="white"/>
        </w:rPr>
        <w:t>16</w:t>
      </w:r>
      <w:r w:rsidRPr="00A76F58">
        <w:rPr>
          <w:color w:val="222222"/>
          <w:szCs w:val="22"/>
          <w:highlight w:val="white"/>
        </w:rPr>
        <w:t>(6), 2127–2145.</w:t>
      </w:r>
      <w:hyperlink r:id="rId14">
        <w:r w:rsidRPr="00A76F58">
          <w:rPr>
            <w:color w:val="376E7B"/>
            <w:szCs w:val="22"/>
            <w:highlight w:val="white"/>
          </w:rPr>
          <w:t xml:space="preserve"> </w:t>
        </w:r>
      </w:hyperlink>
      <w:hyperlink r:id="rId15">
        <w:r w:rsidRPr="00A76F58">
          <w:rPr>
            <w:color w:val="1155CC"/>
            <w:szCs w:val="22"/>
            <w:highlight w:val="white"/>
            <w:u w:val="single"/>
          </w:rPr>
          <w:t>https://doi.org/10.5194/tc-16-2127-2022</w:t>
        </w:r>
      </w:hyperlink>
      <w:r w:rsidRPr="00A76F58">
        <w:rPr>
          <w:color w:val="376E7B"/>
          <w:szCs w:val="22"/>
          <w:highlight w:val="white"/>
        </w:rPr>
        <w:t xml:space="preserve"> </w:t>
      </w:r>
    </w:p>
    <w:p w14:paraId="5ED2FBAA" w14:textId="77777777" w:rsidR="00F60C28" w:rsidRPr="00A76F58" w:rsidRDefault="00F60C28" w:rsidP="00F60C28">
      <w:pPr>
        <w:shd w:val="clear" w:color="auto" w:fill="FFFFFF"/>
        <w:rPr>
          <w:color w:val="222222"/>
          <w:szCs w:val="22"/>
          <w:highlight w:val="white"/>
        </w:rPr>
      </w:pPr>
      <w:r w:rsidRPr="00A76F58">
        <w:rPr>
          <w:color w:val="222222"/>
          <w:szCs w:val="22"/>
          <w:highlight w:val="white"/>
        </w:rPr>
        <w:t>Caruso, G., Bergami, E., Singh, N., Corsi, I. (2022). Plastic occurrence, sources, and impacts in Antarctic environment and biota. Water Biology and Security. 1. 100034. 10.1016/j.watbs.2022.100034.</w:t>
      </w:r>
    </w:p>
    <w:p w14:paraId="5F0D975A" w14:textId="77777777" w:rsidR="00F60C28" w:rsidRPr="00A76F58" w:rsidRDefault="00F60C28" w:rsidP="00F60C28">
      <w:pPr>
        <w:shd w:val="clear" w:color="auto" w:fill="FFFFFF"/>
        <w:ind w:firstLine="720"/>
        <w:rPr>
          <w:color w:val="222222"/>
          <w:szCs w:val="22"/>
          <w:highlight w:val="white"/>
        </w:rPr>
      </w:pPr>
      <w:r w:rsidRPr="00A76F58">
        <w:rPr>
          <w:color w:val="222222"/>
          <w:szCs w:val="22"/>
          <w:highlight w:val="white"/>
        </w:rPr>
        <w:t xml:space="preserve">Cunningham, M., Seijo, N.R., Altieri, K., Audh, R., &amp; Burger, J., Bornman, T., Fawcett, S., Gwinnett, C., Osborne, A., Woodall, L. (2022). The transport and fate of microplastic fibres in the Antarctic: The role of multiple global processes. </w:t>
      </w:r>
      <w:r w:rsidRPr="00A76F58">
        <w:rPr>
          <w:i/>
          <w:color w:val="222222"/>
          <w:szCs w:val="22"/>
          <w:highlight w:val="white"/>
        </w:rPr>
        <w:t>Frontiers in Marine Science.</w:t>
      </w:r>
      <w:r w:rsidRPr="00A76F58">
        <w:rPr>
          <w:color w:val="222222"/>
          <w:szCs w:val="22"/>
          <w:highlight w:val="white"/>
        </w:rPr>
        <w:t xml:space="preserve"> 9. 10.3389/fmars.2022.1056081.</w:t>
      </w:r>
    </w:p>
    <w:p w14:paraId="2774356F" w14:textId="77777777" w:rsidR="00F60C28" w:rsidRPr="00F60C28" w:rsidRDefault="00F60C28" w:rsidP="00F60C28">
      <w:pPr>
        <w:shd w:val="clear" w:color="auto" w:fill="FFFFFF"/>
        <w:ind w:firstLine="720"/>
        <w:rPr>
          <w:color w:val="376E7B"/>
          <w:szCs w:val="22"/>
          <w:highlight w:val="white"/>
          <w:lang w:val="es-AR"/>
        </w:rPr>
      </w:pPr>
      <w:r w:rsidRPr="00A76F58">
        <w:rPr>
          <w:color w:val="222222"/>
          <w:szCs w:val="22"/>
          <w:highlight w:val="white"/>
        </w:rPr>
        <w:t xml:space="preserve">Dawson, A.L., Kawaguchi, S., King, C.K. </w:t>
      </w:r>
      <w:r w:rsidRPr="00A76F58">
        <w:rPr>
          <w:i/>
          <w:color w:val="222222"/>
          <w:szCs w:val="22"/>
          <w:highlight w:val="white"/>
        </w:rPr>
        <w:t>et al.</w:t>
      </w:r>
      <w:r w:rsidRPr="00A76F58">
        <w:rPr>
          <w:color w:val="222222"/>
          <w:szCs w:val="22"/>
          <w:highlight w:val="white"/>
        </w:rPr>
        <w:t xml:space="preserve"> (2018). Turning microplastics into nanoplastics through digestive fragmentation by Antarctic krill. </w:t>
      </w:r>
      <w:r w:rsidRPr="00F60C28">
        <w:rPr>
          <w:i/>
          <w:color w:val="222222"/>
          <w:szCs w:val="22"/>
          <w:highlight w:val="white"/>
          <w:lang w:val="es-AR"/>
        </w:rPr>
        <w:t>Nat Commun</w:t>
      </w:r>
      <w:r w:rsidRPr="00F60C28">
        <w:rPr>
          <w:color w:val="222222"/>
          <w:szCs w:val="22"/>
          <w:highlight w:val="white"/>
          <w:lang w:val="es-AR"/>
        </w:rPr>
        <w:t xml:space="preserve"> 9, 1001. </w:t>
      </w:r>
      <w:hyperlink r:id="rId16">
        <w:r w:rsidRPr="00F60C28">
          <w:rPr>
            <w:color w:val="1155CC"/>
            <w:szCs w:val="22"/>
            <w:highlight w:val="white"/>
            <w:u w:val="single"/>
            <w:lang w:val="es-AR"/>
          </w:rPr>
          <w:t>https://doi.org/10.1038/s41467-018-03465-9</w:t>
        </w:r>
      </w:hyperlink>
    </w:p>
    <w:p w14:paraId="30329FB8" w14:textId="77777777" w:rsidR="00F60C28" w:rsidRPr="00A76F58" w:rsidRDefault="00F60C28" w:rsidP="00F60C28">
      <w:pPr>
        <w:shd w:val="clear" w:color="auto" w:fill="FFFFFF"/>
        <w:ind w:firstLine="720"/>
        <w:rPr>
          <w:color w:val="376E7B"/>
          <w:szCs w:val="22"/>
          <w:highlight w:val="white"/>
        </w:rPr>
      </w:pPr>
      <w:r w:rsidRPr="00F60C28">
        <w:rPr>
          <w:color w:val="222222"/>
          <w:szCs w:val="22"/>
          <w:highlight w:val="white"/>
          <w:lang w:val="es-AR"/>
        </w:rPr>
        <w:t xml:space="preserve">Fragão, J., Bessa, F., Otero, V., Barbosa, A., Sobral, P., Waluda, C. M., Guímaro, H. R., &amp; Xavier, J. C. (2021). </w:t>
      </w:r>
      <w:r w:rsidRPr="00A76F58">
        <w:rPr>
          <w:color w:val="222222"/>
          <w:szCs w:val="22"/>
          <w:highlight w:val="white"/>
        </w:rPr>
        <w:t xml:space="preserve">Microplastics and other anthropogenic particles in Antarctica: Using Penguins as biological samplers. </w:t>
      </w:r>
      <w:r w:rsidRPr="00A76F58">
        <w:rPr>
          <w:i/>
          <w:color w:val="222222"/>
          <w:szCs w:val="22"/>
          <w:highlight w:val="white"/>
        </w:rPr>
        <w:t>Science of The Total Environment</w:t>
      </w:r>
      <w:r w:rsidRPr="00A76F58">
        <w:rPr>
          <w:color w:val="222222"/>
          <w:szCs w:val="22"/>
          <w:highlight w:val="white"/>
        </w:rPr>
        <w:t xml:space="preserve">, </w:t>
      </w:r>
      <w:r w:rsidRPr="00A76F58">
        <w:rPr>
          <w:i/>
          <w:color w:val="222222"/>
          <w:szCs w:val="22"/>
          <w:highlight w:val="white"/>
        </w:rPr>
        <w:t>788</w:t>
      </w:r>
      <w:r w:rsidRPr="00A76F58">
        <w:rPr>
          <w:color w:val="222222"/>
          <w:szCs w:val="22"/>
          <w:highlight w:val="white"/>
        </w:rPr>
        <w:t>, 147698.</w:t>
      </w:r>
      <w:hyperlink r:id="rId17">
        <w:r w:rsidRPr="00A76F58">
          <w:rPr>
            <w:color w:val="222222"/>
            <w:szCs w:val="22"/>
            <w:highlight w:val="white"/>
          </w:rPr>
          <w:t xml:space="preserve"> </w:t>
        </w:r>
      </w:hyperlink>
      <w:hyperlink r:id="rId18">
        <w:r w:rsidRPr="00A76F58">
          <w:rPr>
            <w:color w:val="376E7B"/>
            <w:szCs w:val="22"/>
            <w:highlight w:val="white"/>
            <w:u w:val="single"/>
          </w:rPr>
          <w:t>https://doi.org/10.1016/j.scitotenv.2021.147698</w:t>
        </w:r>
      </w:hyperlink>
      <w:r w:rsidRPr="00A76F58">
        <w:rPr>
          <w:color w:val="376E7B"/>
          <w:szCs w:val="22"/>
          <w:highlight w:val="white"/>
        </w:rPr>
        <w:t xml:space="preserve"> </w:t>
      </w:r>
    </w:p>
    <w:p w14:paraId="212618C2" w14:textId="77777777" w:rsidR="00F60C28" w:rsidRPr="00F60C28" w:rsidRDefault="00F60C28" w:rsidP="00F60C28">
      <w:pPr>
        <w:ind w:firstLine="720"/>
        <w:rPr>
          <w:color w:val="222222"/>
          <w:szCs w:val="22"/>
          <w:highlight w:val="white"/>
          <w:lang w:val="es-AR"/>
        </w:rPr>
      </w:pPr>
      <w:r w:rsidRPr="00A76F58">
        <w:rPr>
          <w:color w:val="222222"/>
          <w:szCs w:val="22"/>
          <w:highlight w:val="white"/>
        </w:rPr>
        <w:t xml:space="preserve">GESAMP - Joint Group of Experts on the Scientific Aspects of Marine Environmental Protection (2015) Sources, fate and effects of microplastics in the marine environment. </w:t>
      </w:r>
      <w:r w:rsidRPr="00F60C28">
        <w:rPr>
          <w:color w:val="222222"/>
          <w:szCs w:val="22"/>
          <w:highlight w:val="white"/>
          <w:lang w:val="es-AR"/>
        </w:rPr>
        <w:t>GESAMP Reports and Studies #90.</w:t>
      </w:r>
    </w:p>
    <w:p w14:paraId="4D9085D2" w14:textId="77777777" w:rsidR="00F60C28" w:rsidRPr="00F60C28" w:rsidRDefault="00F60C28" w:rsidP="00F60C28">
      <w:pPr>
        <w:ind w:firstLine="720"/>
        <w:rPr>
          <w:color w:val="386573"/>
          <w:szCs w:val="22"/>
          <w:highlight w:val="white"/>
          <w:u w:val="single"/>
          <w:lang w:val="es-AR"/>
        </w:rPr>
      </w:pPr>
      <w:r w:rsidRPr="00F60C28">
        <w:rPr>
          <w:color w:val="222222"/>
          <w:szCs w:val="22"/>
          <w:highlight w:val="white"/>
          <w:lang w:val="es-AR"/>
        </w:rPr>
        <w:t xml:space="preserve">González-Aravena M., Rotunno C., Cárdenas C. A., Torres M., Morley S.  A., Hurley J., Caro-Lara L., Pozo K., Galban C., Rondon R (2024). </w:t>
      </w:r>
      <w:r w:rsidRPr="00A76F58">
        <w:rPr>
          <w:color w:val="222222"/>
          <w:szCs w:val="22"/>
          <w:highlight w:val="white"/>
        </w:rPr>
        <w:t xml:space="preserve">Detection of plastic, cellulosic micro-fragments and microfibers in Laternula elliptica from King George Island (Maritime Antarctica), </w:t>
      </w:r>
      <w:r w:rsidRPr="00A76F58">
        <w:rPr>
          <w:i/>
          <w:color w:val="222222"/>
          <w:szCs w:val="22"/>
          <w:highlight w:val="white"/>
        </w:rPr>
        <w:t>Marine Pollution Bulletin, Vol. 201</w:t>
      </w:r>
      <w:r w:rsidRPr="00A76F58">
        <w:rPr>
          <w:color w:val="222222"/>
          <w:szCs w:val="22"/>
          <w:highlight w:val="white"/>
        </w:rPr>
        <w:t>, 116257.</w:t>
      </w:r>
      <w:hyperlink r:id="rId19">
        <w:r w:rsidRPr="00A76F58">
          <w:rPr>
            <w:color w:val="222222"/>
            <w:szCs w:val="22"/>
            <w:highlight w:val="white"/>
          </w:rPr>
          <w:t xml:space="preserve"> </w:t>
        </w:r>
      </w:hyperlink>
      <w:hyperlink r:id="rId20">
        <w:r w:rsidRPr="00F60C28">
          <w:rPr>
            <w:color w:val="386573"/>
            <w:szCs w:val="22"/>
            <w:highlight w:val="white"/>
            <w:u w:val="single"/>
            <w:lang w:val="es-AR"/>
          </w:rPr>
          <w:t>https://doi.org/10.1016/j.marpolbul.2024.116257</w:t>
        </w:r>
      </w:hyperlink>
    </w:p>
    <w:p w14:paraId="3C6A9DBC" w14:textId="77777777" w:rsidR="00F60C28" w:rsidRPr="00A76F58" w:rsidRDefault="00F60C28" w:rsidP="00F60C28">
      <w:pPr>
        <w:ind w:firstLine="720"/>
        <w:rPr>
          <w:color w:val="386573"/>
          <w:szCs w:val="22"/>
          <w:highlight w:val="white"/>
          <w:u w:val="single"/>
        </w:rPr>
      </w:pPr>
      <w:r w:rsidRPr="00F60C28">
        <w:rPr>
          <w:color w:val="222222"/>
          <w:szCs w:val="22"/>
          <w:highlight w:val="white"/>
          <w:lang w:val="es-AR"/>
        </w:rPr>
        <w:t xml:space="preserve">Isobe, A., Uchiyama-Matsumoto, K., Uchida, K., &amp; Tokai, T. (2017). </w:t>
      </w:r>
      <w:r w:rsidRPr="00A76F58">
        <w:rPr>
          <w:color w:val="222222"/>
          <w:szCs w:val="22"/>
          <w:highlight w:val="white"/>
        </w:rPr>
        <w:t xml:space="preserve">Microplastics in the Southern Ocean. </w:t>
      </w:r>
      <w:r w:rsidRPr="00A76F58">
        <w:rPr>
          <w:i/>
          <w:color w:val="222222"/>
          <w:szCs w:val="22"/>
          <w:highlight w:val="white"/>
        </w:rPr>
        <w:t>Marine Pollution Bulletin, 114</w:t>
      </w:r>
      <w:r w:rsidRPr="00A76F58">
        <w:rPr>
          <w:color w:val="222222"/>
          <w:szCs w:val="22"/>
          <w:highlight w:val="white"/>
        </w:rPr>
        <w:t>(1): 623-626.</w:t>
      </w:r>
      <w:hyperlink r:id="rId21">
        <w:r w:rsidRPr="00A76F58">
          <w:rPr>
            <w:color w:val="222222"/>
            <w:szCs w:val="22"/>
            <w:highlight w:val="white"/>
          </w:rPr>
          <w:t xml:space="preserve"> </w:t>
        </w:r>
      </w:hyperlink>
      <w:hyperlink r:id="rId22">
        <w:r w:rsidRPr="00A76F58">
          <w:rPr>
            <w:color w:val="386573"/>
            <w:szCs w:val="22"/>
            <w:highlight w:val="white"/>
            <w:u w:val="single"/>
          </w:rPr>
          <w:t>https://doi.org/10.1016/j.marpolbul.2016.09.037</w:t>
        </w:r>
      </w:hyperlink>
    </w:p>
    <w:p w14:paraId="613203F8" w14:textId="77777777" w:rsidR="00F60C28" w:rsidRPr="00A76F58" w:rsidRDefault="00F60C28" w:rsidP="00F60C28">
      <w:pPr>
        <w:ind w:firstLine="720"/>
        <w:rPr>
          <w:color w:val="222222"/>
          <w:szCs w:val="22"/>
          <w:highlight w:val="white"/>
        </w:rPr>
      </w:pPr>
      <w:r w:rsidRPr="00F60C28">
        <w:rPr>
          <w:color w:val="222222"/>
          <w:szCs w:val="22"/>
          <w:highlight w:val="white"/>
          <w:lang w:val="es-AR"/>
        </w:rPr>
        <w:t xml:space="preserve">Lacerda, A.L.d.F., Rodrigues, L.d.S., van Sebille, E. et al. </w:t>
      </w:r>
      <w:r w:rsidRPr="00A76F58">
        <w:rPr>
          <w:color w:val="222222"/>
          <w:szCs w:val="22"/>
          <w:highlight w:val="white"/>
        </w:rPr>
        <w:t xml:space="preserve">Plastics in sea surface waters around the Antarctic Peninsula. Sci Rep 9, 3977 (2019). </w:t>
      </w:r>
      <w:hyperlink r:id="rId23">
        <w:r w:rsidRPr="00A76F58">
          <w:rPr>
            <w:color w:val="1155CC"/>
            <w:szCs w:val="22"/>
            <w:highlight w:val="white"/>
            <w:u w:val="single"/>
          </w:rPr>
          <w:t>https://doi.org/10.1038/s41598-019-40311-4</w:t>
        </w:r>
      </w:hyperlink>
    </w:p>
    <w:p w14:paraId="56CF36A8" w14:textId="77777777" w:rsidR="00F60C28" w:rsidRPr="00A76F58" w:rsidRDefault="00F60C28" w:rsidP="00F60C28">
      <w:pPr>
        <w:ind w:firstLine="720"/>
        <w:rPr>
          <w:color w:val="376E7B"/>
          <w:szCs w:val="22"/>
          <w:highlight w:val="white"/>
        </w:rPr>
      </w:pPr>
      <w:r w:rsidRPr="00A76F58">
        <w:rPr>
          <w:color w:val="222222"/>
          <w:szCs w:val="22"/>
          <w:highlight w:val="white"/>
        </w:rPr>
        <w:lastRenderedPageBreak/>
        <w:t xml:space="preserve">Napper, I. E., &amp; Thompson, R. C. (2016). Release of synthetic microplastic plastic fibres from domestic washing machines: Effects of fabric type and washing conditions. </w:t>
      </w:r>
      <w:r w:rsidRPr="00A76F58">
        <w:rPr>
          <w:i/>
          <w:color w:val="222222"/>
          <w:szCs w:val="22"/>
          <w:highlight w:val="white"/>
        </w:rPr>
        <w:t>Marine Pollution Bulletin</w:t>
      </w:r>
      <w:r w:rsidRPr="00A76F58">
        <w:rPr>
          <w:color w:val="222222"/>
          <w:szCs w:val="22"/>
          <w:highlight w:val="white"/>
        </w:rPr>
        <w:t xml:space="preserve">, </w:t>
      </w:r>
      <w:r w:rsidRPr="00A76F58">
        <w:rPr>
          <w:i/>
          <w:color w:val="222222"/>
          <w:szCs w:val="22"/>
          <w:highlight w:val="white"/>
        </w:rPr>
        <w:t>112</w:t>
      </w:r>
      <w:r w:rsidRPr="00A76F58">
        <w:rPr>
          <w:color w:val="222222"/>
          <w:szCs w:val="22"/>
          <w:highlight w:val="white"/>
        </w:rPr>
        <w:t>(1–2), 39–45.</w:t>
      </w:r>
      <w:hyperlink r:id="rId24">
        <w:r w:rsidRPr="00A76F58">
          <w:rPr>
            <w:color w:val="222222"/>
            <w:szCs w:val="22"/>
            <w:highlight w:val="white"/>
          </w:rPr>
          <w:t xml:space="preserve"> </w:t>
        </w:r>
      </w:hyperlink>
      <w:hyperlink r:id="rId25">
        <w:r w:rsidRPr="00A76F58">
          <w:rPr>
            <w:color w:val="376E7B"/>
            <w:szCs w:val="22"/>
            <w:highlight w:val="white"/>
            <w:u w:val="single"/>
          </w:rPr>
          <w:t>https://doi.org/10.1016/j.marpolbul.2016.09.025</w:t>
        </w:r>
      </w:hyperlink>
      <w:r w:rsidRPr="00A76F58">
        <w:rPr>
          <w:color w:val="376E7B"/>
          <w:szCs w:val="22"/>
          <w:highlight w:val="white"/>
        </w:rPr>
        <w:t xml:space="preserve"> </w:t>
      </w:r>
    </w:p>
    <w:p w14:paraId="6670A4A5" w14:textId="77777777" w:rsidR="00F60C28" w:rsidRPr="00A76F58" w:rsidRDefault="00F60C28" w:rsidP="00F60C28">
      <w:pPr>
        <w:ind w:firstLine="720"/>
        <w:rPr>
          <w:color w:val="376E7B"/>
          <w:szCs w:val="22"/>
          <w:highlight w:val="white"/>
        </w:rPr>
      </w:pPr>
      <w:r w:rsidRPr="00A76F58">
        <w:rPr>
          <w:color w:val="222222"/>
          <w:szCs w:val="22"/>
          <w:highlight w:val="white"/>
        </w:rPr>
        <w:t xml:space="preserve">OECD (2022), </w:t>
      </w:r>
      <w:r w:rsidRPr="00A76F58">
        <w:rPr>
          <w:i/>
          <w:color w:val="222222"/>
          <w:szCs w:val="22"/>
          <w:highlight w:val="white"/>
        </w:rPr>
        <w:t>Global Plastics Outlook: Economic Drivers, Environmental Impacts and Policy Options</w:t>
      </w:r>
      <w:r w:rsidRPr="00A76F58">
        <w:rPr>
          <w:color w:val="222222"/>
          <w:szCs w:val="22"/>
          <w:highlight w:val="white"/>
        </w:rPr>
        <w:t xml:space="preserve">, OECD Publishing, Paris, </w:t>
      </w:r>
      <w:hyperlink r:id="rId26">
        <w:r w:rsidRPr="00A76F58">
          <w:rPr>
            <w:color w:val="1155CC"/>
            <w:szCs w:val="22"/>
            <w:highlight w:val="white"/>
            <w:u w:val="single"/>
          </w:rPr>
          <w:t>https://doi.org/10.1787/de747aef-en</w:t>
        </w:r>
      </w:hyperlink>
      <w:r w:rsidRPr="00A76F58">
        <w:rPr>
          <w:color w:val="376E7B"/>
          <w:szCs w:val="22"/>
          <w:highlight w:val="white"/>
        </w:rPr>
        <w:t xml:space="preserve">. </w:t>
      </w:r>
    </w:p>
    <w:p w14:paraId="0A693113" w14:textId="77777777" w:rsidR="00F60C28" w:rsidRPr="00A76F58" w:rsidRDefault="00F60C28" w:rsidP="00F60C28">
      <w:pPr>
        <w:ind w:firstLine="720"/>
        <w:rPr>
          <w:color w:val="376E7B"/>
          <w:szCs w:val="22"/>
          <w:highlight w:val="white"/>
        </w:rPr>
      </w:pPr>
      <w:r w:rsidRPr="00A76F58">
        <w:rPr>
          <w:color w:val="222222"/>
          <w:szCs w:val="22"/>
          <w:highlight w:val="white"/>
        </w:rPr>
        <w:t xml:space="preserve">Pew Charitable Trust (2020). </w:t>
      </w:r>
      <w:r w:rsidRPr="00A76F58">
        <w:rPr>
          <w:i/>
          <w:color w:val="222222"/>
          <w:szCs w:val="22"/>
          <w:highlight w:val="white"/>
        </w:rPr>
        <w:t>Breaking the Plastic Wave, A Comprehensive Assessment of Pathways Towards Stopping Ocean Plastic Pollution</w:t>
      </w:r>
      <w:r w:rsidRPr="00A76F58">
        <w:rPr>
          <w:color w:val="222222"/>
          <w:szCs w:val="22"/>
          <w:highlight w:val="white"/>
        </w:rPr>
        <w:t xml:space="preserve">, Global Plastics Policy Centre. </w:t>
      </w:r>
      <w:hyperlink r:id="rId27">
        <w:r w:rsidRPr="00A76F58">
          <w:rPr>
            <w:color w:val="222222"/>
            <w:szCs w:val="22"/>
            <w:highlight w:val="white"/>
          </w:rPr>
          <w:t xml:space="preserve"> </w:t>
        </w:r>
      </w:hyperlink>
      <w:hyperlink r:id="rId28">
        <w:r w:rsidRPr="00A76F58">
          <w:rPr>
            <w:color w:val="376E7B"/>
            <w:szCs w:val="22"/>
            <w:highlight w:val="white"/>
            <w:u w:val="single"/>
          </w:rPr>
          <w:t>https://www.pewtrusts.org/en/-research-and-analysis/articles/2020/07/23/breaking-the-plastic-wave-top-findings</w:t>
        </w:r>
      </w:hyperlink>
      <w:r w:rsidRPr="00A76F58">
        <w:rPr>
          <w:color w:val="376E7B"/>
          <w:szCs w:val="22"/>
          <w:highlight w:val="white"/>
        </w:rPr>
        <w:t xml:space="preserve"> </w:t>
      </w:r>
    </w:p>
    <w:p w14:paraId="008C654C" w14:textId="77777777" w:rsidR="00F60C28" w:rsidRPr="00A76F58" w:rsidRDefault="00F60C28" w:rsidP="00F60C28">
      <w:pPr>
        <w:ind w:firstLine="720"/>
        <w:rPr>
          <w:color w:val="222222"/>
          <w:szCs w:val="22"/>
          <w:highlight w:val="white"/>
        </w:rPr>
      </w:pPr>
      <w:r w:rsidRPr="00A76F58">
        <w:rPr>
          <w:color w:val="222222"/>
          <w:szCs w:val="22"/>
          <w:highlight w:val="white"/>
        </w:rPr>
        <w:t xml:space="preserve">Primke, S., Meyer, B, Falcou-Préfol, M., Schütte, W., Gerdts, G. (2024). At second glance: The importance of strict quality control – A case study on microplastic in the Southern Ocean key speciesAntarctic krill, </w:t>
      </w:r>
      <w:r w:rsidRPr="00A76F58">
        <w:rPr>
          <w:i/>
          <w:color w:val="222222"/>
          <w:szCs w:val="22"/>
          <w:highlight w:val="white"/>
        </w:rPr>
        <w:t>Euphausia superba. Science of The Total Environment</w:t>
      </w:r>
      <w:r w:rsidRPr="00A76F58">
        <w:rPr>
          <w:color w:val="222222"/>
          <w:szCs w:val="22"/>
          <w:highlight w:val="white"/>
        </w:rPr>
        <w:t xml:space="preserve"> 918, 170618. </w:t>
      </w:r>
      <w:hyperlink r:id="rId29">
        <w:r w:rsidRPr="00A76F58">
          <w:rPr>
            <w:color w:val="1155CC"/>
            <w:szCs w:val="22"/>
            <w:highlight w:val="white"/>
            <w:u w:val="single"/>
          </w:rPr>
          <w:t>https://doi.org/10.1016/j.scitotenv.2024.170618</w:t>
        </w:r>
      </w:hyperlink>
      <w:r w:rsidRPr="00A76F58">
        <w:rPr>
          <w:color w:val="222222"/>
          <w:szCs w:val="22"/>
          <w:highlight w:val="white"/>
        </w:rPr>
        <w:t>.</w:t>
      </w:r>
    </w:p>
    <w:p w14:paraId="2516BB59" w14:textId="77777777" w:rsidR="00F60C28" w:rsidRPr="00A76F58" w:rsidRDefault="00F60C28" w:rsidP="00F60C28">
      <w:pPr>
        <w:ind w:firstLine="720"/>
        <w:rPr>
          <w:color w:val="222222"/>
          <w:szCs w:val="22"/>
          <w:highlight w:val="white"/>
        </w:rPr>
      </w:pPr>
      <w:r w:rsidRPr="00A76F58">
        <w:rPr>
          <w:color w:val="222222"/>
          <w:szCs w:val="22"/>
          <w:highlight w:val="white"/>
        </w:rPr>
        <w:t xml:space="preserve">Taurozzi, D., &amp; Scalici, M. (2024). Seabirds from the Poles: Microplastics pollution sentinels. </w:t>
      </w:r>
      <w:r w:rsidRPr="00A76F58">
        <w:rPr>
          <w:i/>
          <w:color w:val="222222"/>
          <w:szCs w:val="22"/>
          <w:highlight w:val="white"/>
        </w:rPr>
        <w:t>Frontiers in Marine Science</w:t>
      </w:r>
      <w:r w:rsidRPr="00A76F58">
        <w:rPr>
          <w:color w:val="222222"/>
          <w:szCs w:val="22"/>
          <w:highlight w:val="white"/>
        </w:rPr>
        <w:t xml:space="preserve">, </w:t>
      </w:r>
      <w:r w:rsidRPr="00A76F58">
        <w:rPr>
          <w:i/>
          <w:color w:val="222222"/>
          <w:szCs w:val="22"/>
          <w:highlight w:val="white"/>
        </w:rPr>
        <w:t>11</w:t>
      </w:r>
      <w:r w:rsidRPr="00A76F58">
        <w:rPr>
          <w:color w:val="222222"/>
          <w:szCs w:val="22"/>
          <w:highlight w:val="white"/>
        </w:rPr>
        <w:t>.</w:t>
      </w:r>
      <w:hyperlink r:id="rId30">
        <w:r w:rsidRPr="00A76F58">
          <w:rPr>
            <w:color w:val="222222"/>
            <w:szCs w:val="22"/>
            <w:highlight w:val="white"/>
          </w:rPr>
          <w:t xml:space="preserve"> </w:t>
        </w:r>
      </w:hyperlink>
      <w:hyperlink r:id="rId31">
        <w:r w:rsidRPr="00A76F58">
          <w:rPr>
            <w:color w:val="376E7B"/>
            <w:szCs w:val="22"/>
            <w:highlight w:val="white"/>
            <w:u w:val="single"/>
          </w:rPr>
          <w:t>https://doi.org/10.3389/fmars.2024.1343617</w:t>
        </w:r>
      </w:hyperlink>
      <w:r w:rsidRPr="00A76F58">
        <w:rPr>
          <w:color w:val="222222"/>
          <w:szCs w:val="22"/>
          <w:highlight w:val="white"/>
        </w:rPr>
        <w:t xml:space="preserve">  </w:t>
      </w:r>
    </w:p>
    <w:p w14:paraId="741E1BA6" w14:textId="77777777" w:rsidR="00F60C28" w:rsidRPr="00A76F58" w:rsidRDefault="00F60C28" w:rsidP="00F60C28">
      <w:pPr>
        <w:ind w:firstLine="720"/>
        <w:rPr>
          <w:color w:val="222222"/>
          <w:szCs w:val="22"/>
          <w:highlight w:val="white"/>
        </w:rPr>
      </w:pPr>
      <w:r w:rsidRPr="00A76F58">
        <w:rPr>
          <w:color w:val="222222"/>
          <w:szCs w:val="22"/>
          <w:highlight w:val="white"/>
        </w:rPr>
        <w:t xml:space="preserve">Rota E, Bergami E, Corsi I, Bargagli R. Macro- and Microplastics in the Antarctic Environment: Ongoing Assessment and Perspectives. Environments. 2022; 9(7):93. </w:t>
      </w:r>
      <w:hyperlink r:id="rId32">
        <w:r w:rsidRPr="00A76F58">
          <w:rPr>
            <w:color w:val="1155CC"/>
            <w:szCs w:val="22"/>
            <w:highlight w:val="white"/>
            <w:u w:val="single"/>
          </w:rPr>
          <w:t>https://doi.org/10.3390/environments9070093</w:t>
        </w:r>
      </w:hyperlink>
    </w:p>
    <w:p w14:paraId="42179E3C" w14:textId="77777777" w:rsidR="00F60C28" w:rsidRPr="00A76F58" w:rsidRDefault="00F60C28" w:rsidP="00F60C28">
      <w:pPr>
        <w:ind w:firstLine="720"/>
        <w:rPr>
          <w:color w:val="376E7B"/>
          <w:szCs w:val="22"/>
          <w:highlight w:val="white"/>
          <w:u w:val="single"/>
        </w:rPr>
      </w:pPr>
      <w:r w:rsidRPr="00A76F58">
        <w:rPr>
          <w:color w:val="222222"/>
          <w:szCs w:val="22"/>
          <w:highlight w:val="white"/>
        </w:rPr>
        <w:t xml:space="preserve">Waller, C. L., Griffiths, H. J., Waluda, C. M., Thorpe, S. E., Loaiza, I., Moreno, B., Pacherres, C. O., &amp; Hughes, K. A. (2017). Microplastics in the antarctic marine system: An emerging area of research. </w:t>
      </w:r>
      <w:r w:rsidRPr="00A76F58">
        <w:rPr>
          <w:i/>
          <w:color w:val="222222"/>
          <w:szCs w:val="22"/>
          <w:highlight w:val="white"/>
        </w:rPr>
        <w:t>Science of The Total Environment</w:t>
      </w:r>
      <w:r w:rsidRPr="00A76F58">
        <w:rPr>
          <w:color w:val="222222"/>
          <w:szCs w:val="22"/>
          <w:highlight w:val="white"/>
        </w:rPr>
        <w:t xml:space="preserve">, </w:t>
      </w:r>
      <w:r w:rsidRPr="00A76F58">
        <w:rPr>
          <w:i/>
          <w:color w:val="222222"/>
          <w:szCs w:val="22"/>
          <w:highlight w:val="white"/>
        </w:rPr>
        <w:t>598</w:t>
      </w:r>
      <w:r w:rsidRPr="00A76F58">
        <w:rPr>
          <w:color w:val="222222"/>
          <w:szCs w:val="22"/>
          <w:highlight w:val="white"/>
        </w:rPr>
        <w:t>, 220–227.</w:t>
      </w:r>
      <w:hyperlink r:id="rId33">
        <w:r w:rsidRPr="00A76F58">
          <w:rPr>
            <w:color w:val="222222"/>
            <w:szCs w:val="22"/>
            <w:highlight w:val="white"/>
          </w:rPr>
          <w:t xml:space="preserve"> </w:t>
        </w:r>
      </w:hyperlink>
      <w:hyperlink r:id="rId34">
        <w:r w:rsidRPr="00A76F58">
          <w:rPr>
            <w:color w:val="376E7B"/>
            <w:szCs w:val="22"/>
            <w:highlight w:val="white"/>
            <w:u w:val="single"/>
          </w:rPr>
          <w:t>https://doi.org/10.1016/j.scitotenv.2017.03.283</w:t>
        </w:r>
      </w:hyperlink>
    </w:p>
    <w:p w14:paraId="1F1E4DD3" w14:textId="77777777" w:rsidR="00F60C28" w:rsidRPr="00A76F58" w:rsidRDefault="00F60C28" w:rsidP="00F60C28">
      <w:pPr>
        <w:ind w:firstLine="720"/>
        <w:rPr>
          <w:color w:val="376E7B"/>
          <w:szCs w:val="22"/>
          <w:highlight w:val="white"/>
          <w:u w:val="single"/>
        </w:rPr>
      </w:pPr>
      <w:r w:rsidRPr="00A76F58">
        <w:rPr>
          <w:color w:val="222222"/>
          <w:szCs w:val="22"/>
          <w:highlight w:val="white"/>
        </w:rPr>
        <w:t>Yang H, Chen G, Wang J. (2021). Microplastics in the Marine Environment: Sources, Fates, Impacts and Microbial Degradation. Toxics. 2021 Feb 22;9(2):41. doi: 10.3390/toxics9020041. PMID: 33671786; PMCID: PMC7927104.</w:t>
      </w:r>
    </w:p>
    <w:p w14:paraId="7FCBB41E" w14:textId="77777777" w:rsidR="00F60C28" w:rsidRDefault="00F60C28" w:rsidP="00952E9F"/>
    <w:sectPr w:rsidR="00F60C28" w:rsidSect="00283F0F">
      <w:headerReference w:type="default" r:id="rId35"/>
      <w:footerReference w:type="default" r:id="rId36"/>
      <w:type w:val="oddPage"/>
      <w:pgSz w:w="11907" w:h="16840"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FDAFD" w14:textId="77777777" w:rsidR="00F60C28" w:rsidRDefault="00F60C28">
      <w:r>
        <w:separator/>
      </w:r>
    </w:p>
  </w:endnote>
  <w:endnote w:type="continuationSeparator" w:id="0">
    <w:p w14:paraId="25F3F693" w14:textId="77777777" w:rsidR="00F60C28" w:rsidRDefault="00F6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C61C5" w14:textId="77777777" w:rsidR="00F60C28" w:rsidRDefault="00F60C28" w:rsidP="00CF5C82">
    <w:pPr>
      <w:framePr w:wrap="around" w:vAnchor="text" w:hAnchor="margin" w:xAlign="right" w:y="1"/>
    </w:pPr>
    <w:r>
      <w:fldChar w:fldCharType="begin"/>
    </w:r>
    <w:r>
      <w:instrText xml:space="preserve">PAGE  </w:instrText>
    </w:r>
    <w:r w:rsidR="000121F0">
      <w:fldChar w:fldCharType="separate"/>
    </w:r>
    <w:r>
      <w:fldChar w:fldCharType="end"/>
    </w:r>
  </w:p>
  <w:p w14:paraId="067FB3DD" w14:textId="77777777" w:rsidR="00F60C28" w:rsidRDefault="00F60C28" w:rsidP="00FA0B9F">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E9A4F" w14:textId="77777777" w:rsidR="00F60C28" w:rsidRDefault="00F60C28" w:rsidP="00CF5C82">
    <w:pPr>
      <w:framePr w:wrap="around" w:vAnchor="text" w:hAnchor="margin" w:xAlign="right" w:y="1"/>
    </w:pPr>
    <w:r>
      <w:fldChar w:fldCharType="begin"/>
    </w:r>
    <w:r>
      <w:instrText xml:space="preserve">PAGE  </w:instrText>
    </w:r>
    <w:r>
      <w:fldChar w:fldCharType="separate"/>
    </w:r>
    <w:r>
      <w:rPr>
        <w:noProof/>
      </w:rPr>
      <w:t>1</w:t>
    </w:r>
    <w:r>
      <w:fldChar w:fldCharType="end"/>
    </w:r>
  </w:p>
  <w:p w14:paraId="7AE2993E" w14:textId="3F46A49C" w:rsidR="00F60C28" w:rsidRDefault="00F60C28" w:rsidP="00F60C28">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24E2D" w14:textId="77777777" w:rsidR="000121F0" w:rsidRDefault="000121F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38ECC" w14:textId="77777777" w:rsidR="00F60C28" w:rsidRDefault="00F60C28" w:rsidP="00CF5C82">
    <w:pPr>
      <w:framePr w:wrap="around" w:vAnchor="text" w:hAnchor="margin" w:xAlign="right" w:y="1"/>
    </w:pPr>
    <w:r>
      <w:fldChar w:fldCharType="begin"/>
    </w:r>
    <w:r>
      <w:instrText xml:space="preserve">PAGE  </w:instrText>
    </w:r>
    <w:r>
      <w:fldChar w:fldCharType="separate"/>
    </w:r>
    <w:r>
      <w:rPr>
        <w:noProof/>
      </w:rPr>
      <w:t>3</w:t>
    </w:r>
    <w:r>
      <w:fldChar w:fldCharType="end"/>
    </w:r>
  </w:p>
  <w:p w14:paraId="7D49FB47" w14:textId="77777777" w:rsidR="00F60C28" w:rsidRDefault="00F60C28" w:rsidP="00E311C9">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43F8E" w14:textId="77777777" w:rsidR="00F60C28" w:rsidRDefault="00F60C28">
      <w:r>
        <w:separator/>
      </w:r>
    </w:p>
  </w:footnote>
  <w:footnote w:type="continuationSeparator" w:id="0">
    <w:p w14:paraId="6059060F" w14:textId="77777777" w:rsidR="00F60C28" w:rsidRDefault="00F60C28">
      <w:r>
        <w:continuationSeparator/>
      </w:r>
    </w:p>
  </w:footnote>
  <w:footnote w:id="1">
    <w:p w14:paraId="689C4BF3" w14:textId="77777777" w:rsidR="00F60C28" w:rsidRPr="00BB7FB5" w:rsidRDefault="00F60C28" w:rsidP="00F60C28">
      <w:pPr>
        <w:rPr>
          <w:sz w:val="20"/>
          <w:szCs w:val="20"/>
        </w:rPr>
      </w:pPr>
      <w:r w:rsidRPr="00BB7FB5">
        <w:rPr>
          <w:sz w:val="20"/>
          <w:szCs w:val="20"/>
          <w:vertAlign w:val="superscript"/>
        </w:rPr>
        <w:footnoteRef/>
      </w:r>
      <w:r w:rsidRPr="00BB7FB5">
        <w:rPr>
          <w:sz w:val="20"/>
          <w:szCs w:val="20"/>
        </w:rPr>
        <w:t xml:space="preserve"> </w:t>
      </w:r>
      <w:r w:rsidRPr="00BB7FB5">
        <w:rPr>
          <w:color w:val="222222"/>
          <w:sz w:val="20"/>
          <w:szCs w:val="20"/>
          <w:highlight w:val="white"/>
        </w:rPr>
        <w:t>An IP presented by SCAR to the 45</w:t>
      </w:r>
      <w:r w:rsidRPr="00BB7FB5">
        <w:rPr>
          <w:color w:val="222222"/>
          <w:sz w:val="20"/>
          <w:szCs w:val="20"/>
          <w:highlight w:val="white"/>
          <w:vertAlign w:val="superscript"/>
        </w:rPr>
        <w:t>th</w:t>
      </w:r>
      <w:r w:rsidRPr="00BB7FB5">
        <w:rPr>
          <w:color w:val="222222"/>
          <w:sz w:val="20"/>
          <w:szCs w:val="20"/>
          <w:highlight w:val="white"/>
        </w:rPr>
        <w:t xml:space="preserve"> ATCM summarised available information on the occurrence of macroplastics (&gt; 5 mm), microplastics (1 µm-5 mm) and nanoplastics (&lt; 1 µm) in Antarctica (SCAR 2023).</w:t>
      </w:r>
    </w:p>
  </w:footnote>
  <w:footnote w:id="2">
    <w:p w14:paraId="4F1AA13D" w14:textId="77777777" w:rsidR="00F60C28" w:rsidRDefault="00F60C28" w:rsidP="00F60C28">
      <w:pPr>
        <w:rPr>
          <w:sz w:val="16"/>
          <w:szCs w:val="16"/>
        </w:rPr>
      </w:pPr>
      <w:r w:rsidRPr="00BB7FB5">
        <w:rPr>
          <w:sz w:val="20"/>
          <w:szCs w:val="20"/>
          <w:vertAlign w:val="superscript"/>
        </w:rPr>
        <w:footnoteRef/>
      </w:r>
      <w:r w:rsidRPr="00BB7FB5">
        <w:rPr>
          <w:sz w:val="20"/>
          <w:szCs w:val="20"/>
        </w:rPr>
        <w:t xml:space="preserve"> It is likely that the unique and extreme environment of the Southern Ocean may contribute to the rapid breakdown of macroplastics into micro and nanoplastics, increasing their potential risk to Antarctic species and ecosystems (SCAR 2023).</w:t>
      </w:r>
    </w:p>
  </w:footnote>
  <w:footnote w:id="3">
    <w:p w14:paraId="4BA87395" w14:textId="77777777" w:rsidR="00F60C28" w:rsidRDefault="00F60C28" w:rsidP="00F60C28">
      <w:pPr>
        <w:rPr>
          <w:sz w:val="16"/>
          <w:szCs w:val="16"/>
        </w:rPr>
      </w:pPr>
      <w:r>
        <w:rPr>
          <w:vertAlign w:val="superscript"/>
        </w:rPr>
        <w:footnoteRef/>
      </w:r>
      <w:r>
        <w:rPr>
          <w:sz w:val="16"/>
          <w:szCs w:val="16"/>
        </w:rPr>
        <w:t xml:space="preserve"> Parties are not compelled to treat wastewater released from their scientific research station, beyond maceration (Annex III; Article 5, 1b).</w:t>
      </w:r>
    </w:p>
  </w:footnote>
  <w:footnote w:id="4">
    <w:p w14:paraId="1866ED7A" w14:textId="77777777" w:rsidR="00F60C28" w:rsidRDefault="00F60C28" w:rsidP="00F60C28">
      <w:pPr>
        <w:rPr>
          <w:sz w:val="16"/>
          <w:szCs w:val="16"/>
        </w:rPr>
      </w:pPr>
      <w:r>
        <w:rPr>
          <w:vertAlign w:val="superscript"/>
        </w:rPr>
        <w:footnoteRef/>
      </w:r>
      <w:r>
        <w:rPr>
          <w:sz w:val="16"/>
          <w:szCs w:val="16"/>
        </w:rPr>
        <w:t xml:space="preserve"> IMO (2021) Strategy to Address Marine Plastic Litter From Ships. MEPC 77/16/Add.1, Annex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188D7" w14:textId="77777777" w:rsidR="000121F0" w:rsidRDefault="000121F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272" w:type="dxa"/>
      <w:jc w:val="center"/>
      <w:tblLook w:val="01E0" w:firstRow="1" w:lastRow="1" w:firstColumn="1" w:lastColumn="1" w:noHBand="0" w:noVBand="0"/>
    </w:tblPr>
    <w:tblGrid>
      <w:gridCol w:w="5495"/>
      <w:gridCol w:w="3005"/>
      <w:gridCol w:w="1248"/>
      <w:gridCol w:w="1134"/>
      <w:gridCol w:w="390"/>
    </w:tblGrid>
    <w:tr w:rsidR="00575669" w14:paraId="70D1D55A" w14:textId="77777777" w:rsidTr="002E12EC">
      <w:trPr>
        <w:trHeight w:val="344"/>
        <w:jc w:val="center"/>
      </w:trPr>
      <w:tc>
        <w:tcPr>
          <w:tcW w:w="5495" w:type="dxa"/>
        </w:tcPr>
        <w:p w14:paraId="3AAA33DE" w14:textId="77777777" w:rsidR="00F60C28" w:rsidRDefault="00F60C28" w:rsidP="00F968D4"/>
      </w:tc>
      <w:tc>
        <w:tcPr>
          <w:tcW w:w="4253" w:type="dxa"/>
          <w:gridSpan w:val="2"/>
        </w:tcPr>
        <w:p w14:paraId="2E94978D" w14:textId="77777777" w:rsidR="00F60C28" w:rsidRPr="00BD47E4" w:rsidRDefault="00F60C28" w:rsidP="002A07BC">
          <w:pPr>
            <w:jc w:val="right"/>
            <w:rPr>
              <w:b/>
              <w:sz w:val="32"/>
              <w:szCs w:val="32"/>
            </w:rPr>
          </w:pPr>
          <w:bookmarkStart w:id="2" w:name="type"/>
          <w:r w:rsidRPr="00BD47E4">
            <w:rPr>
              <w:b/>
              <w:sz w:val="32"/>
              <w:szCs w:val="32"/>
            </w:rPr>
            <w:t>IP</w:t>
          </w:r>
          <w:bookmarkEnd w:id="2"/>
        </w:p>
      </w:tc>
      <w:tc>
        <w:tcPr>
          <w:tcW w:w="1524" w:type="dxa"/>
          <w:gridSpan w:val="2"/>
        </w:tcPr>
        <w:p w14:paraId="1586D624" w14:textId="77777777" w:rsidR="00F60C28" w:rsidRPr="00BD47E4" w:rsidRDefault="00F60C28" w:rsidP="00DB7C09">
          <w:pPr>
            <w:rPr>
              <w:b/>
              <w:sz w:val="32"/>
              <w:szCs w:val="32"/>
            </w:rPr>
          </w:pPr>
          <w:bookmarkStart w:id="3" w:name="number"/>
          <w:r w:rsidRPr="00BD47E4">
            <w:rPr>
              <w:b/>
              <w:sz w:val="32"/>
              <w:szCs w:val="32"/>
            </w:rPr>
            <w:t>140</w:t>
          </w:r>
          <w:bookmarkEnd w:id="3"/>
        </w:p>
      </w:tc>
    </w:tr>
    <w:tr w:rsidR="00575669" w14:paraId="443018DF" w14:textId="77777777" w:rsidTr="002E12EC">
      <w:trPr>
        <w:trHeight w:val="2165"/>
        <w:jc w:val="center"/>
      </w:trPr>
      <w:tc>
        <w:tcPr>
          <w:tcW w:w="5495" w:type="dxa"/>
        </w:tcPr>
        <w:p w14:paraId="3CF2D954" w14:textId="77777777" w:rsidR="00F60C28" w:rsidRPr="00EE4D48" w:rsidRDefault="00F60C28" w:rsidP="002A07BC">
          <w:pPr>
            <w:rPr>
              <w:b/>
              <w:sz w:val="28"/>
              <w:szCs w:val="28"/>
            </w:rPr>
          </w:pPr>
          <w:r>
            <w:rPr>
              <w:noProof/>
            </w:rPr>
            <w:drawing>
              <wp:anchor distT="0" distB="0" distL="114300" distR="114300" simplePos="0" relativeHeight="251658240" behindDoc="0" locked="0" layoutInCell="1" allowOverlap="1" wp14:anchorId="73E91B2B" wp14:editId="50C43522">
                <wp:simplePos x="0" y="0"/>
                <wp:positionH relativeFrom="column">
                  <wp:posOffset>313690</wp:posOffset>
                </wp:positionH>
                <wp:positionV relativeFrom="paragraph">
                  <wp:posOffset>3967</wp:posOffset>
                </wp:positionV>
                <wp:extent cx="2931437" cy="1657350"/>
                <wp:effectExtent l="0" t="0" r="2540" b="0"/>
                <wp:wrapNone/>
                <wp:docPr id="21107377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498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31437"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777" w:type="dxa"/>
          <w:gridSpan w:val="4"/>
          <w:vAlign w:val="center"/>
        </w:tcPr>
        <w:p w14:paraId="4B883A44" w14:textId="77777777" w:rsidR="00F60C28" w:rsidRPr="00FE5146" w:rsidRDefault="00F60C28" w:rsidP="00490760">
          <w:pPr>
            <w:jc w:val="right"/>
            <w:rPr>
              <w:sz w:val="144"/>
              <w:szCs w:val="144"/>
            </w:rPr>
          </w:pPr>
          <w:r w:rsidRPr="00FE5146">
            <w:rPr>
              <w:sz w:val="144"/>
              <w:szCs w:val="144"/>
            </w:rPr>
            <w:t>ENG</w:t>
          </w:r>
        </w:p>
      </w:tc>
    </w:tr>
    <w:tr w:rsidR="00575669" w14:paraId="412E5019" w14:textId="77777777" w:rsidTr="002E12EC">
      <w:trPr>
        <w:trHeight w:val="409"/>
        <w:jc w:val="center"/>
      </w:trPr>
      <w:tc>
        <w:tcPr>
          <w:tcW w:w="8500" w:type="dxa"/>
          <w:gridSpan w:val="2"/>
        </w:tcPr>
        <w:p w14:paraId="0436F882" w14:textId="77777777" w:rsidR="00F60C28" w:rsidRDefault="00F60C28" w:rsidP="002C30DA">
          <w:pPr>
            <w:jc w:val="right"/>
          </w:pPr>
          <w:r>
            <w:t>Agenda Item:</w:t>
          </w:r>
        </w:p>
      </w:tc>
      <w:tc>
        <w:tcPr>
          <w:tcW w:w="2382" w:type="dxa"/>
          <w:gridSpan w:val="2"/>
        </w:tcPr>
        <w:p w14:paraId="4BE8505E" w14:textId="350F34E4" w:rsidR="00F60C28" w:rsidRDefault="00F60C28" w:rsidP="002C30DA">
          <w:pPr>
            <w:jc w:val="right"/>
          </w:pPr>
          <w:bookmarkStart w:id="4" w:name="agenda"/>
          <w:r>
            <w:t>ATCM 1</w:t>
          </w:r>
          <w:r w:rsidR="000121F0">
            <w:t>5</w:t>
          </w:r>
          <w:r>
            <w:t>, CEP 11</w:t>
          </w:r>
          <w:bookmarkEnd w:id="4"/>
        </w:p>
      </w:tc>
      <w:tc>
        <w:tcPr>
          <w:tcW w:w="390" w:type="dxa"/>
        </w:tcPr>
        <w:p w14:paraId="2A600862" w14:textId="77777777" w:rsidR="00F60C28" w:rsidRDefault="00F60C28" w:rsidP="00387A65">
          <w:pPr>
            <w:jc w:val="right"/>
          </w:pPr>
        </w:p>
      </w:tc>
    </w:tr>
    <w:tr w:rsidR="00575669" w14:paraId="7FED03D2" w14:textId="77777777" w:rsidTr="002E12EC">
      <w:trPr>
        <w:trHeight w:val="397"/>
        <w:jc w:val="center"/>
      </w:trPr>
      <w:tc>
        <w:tcPr>
          <w:tcW w:w="8500" w:type="dxa"/>
          <w:gridSpan w:val="2"/>
        </w:tcPr>
        <w:p w14:paraId="28C3A746" w14:textId="77777777" w:rsidR="00F60C28" w:rsidRDefault="00F60C28" w:rsidP="002C30DA">
          <w:pPr>
            <w:jc w:val="right"/>
          </w:pPr>
          <w:r>
            <w:t>Presented by:</w:t>
          </w:r>
        </w:p>
      </w:tc>
      <w:tc>
        <w:tcPr>
          <w:tcW w:w="2382" w:type="dxa"/>
          <w:gridSpan w:val="2"/>
        </w:tcPr>
        <w:p w14:paraId="74F4FA40" w14:textId="77777777" w:rsidR="00F60C28" w:rsidRDefault="00F60C28" w:rsidP="002C30DA">
          <w:pPr>
            <w:jc w:val="right"/>
          </w:pPr>
          <w:bookmarkStart w:id="5" w:name="party"/>
          <w:r>
            <w:t>ASOC</w:t>
          </w:r>
          <w:bookmarkEnd w:id="5"/>
        </w:p>
      </w:tc>
      <w:tc>
        <w:tcPr>
          <w:tcW w:w="390" w:type="dxa"/>
        </w:tcPr>
        <w:p w14:paraId="75315093" w14:textId="77777777" w:rsidR="00F60C28" w:rsidRDefault="00F60C28" w:rsidP="00387A65">
          <w:pPr>
            <w:jc w:val="right"/>
          </w:pPr>
        </w:p>
      </w:tc>
    </w:tr>
    <w:tr w:rsidR="00575669" w14:paraId="59F891EB" w14:textId="77777777" w:rsidTr="002E12EC">
      <w:trPr>
        <w:trHeight w:val="409"/>
        <w:jc w:val="center"/>
      </w:trPr>
      <w:tc>
        <w:tcPr>
          <w:tcW w:w="8500" w:type="dxa"/>
          <w:gridSpan w:val="2"/>
        </w:tcPr>
        <w:p w14:paraId="42B88933" w14:textId="77777777" w:rsidR="00F60C28" w:rsidRDefault="00F60C28" w:rsidP="002C30DA">
          <w:pPr>
            <w:jc w:val="right"/>
          </w:pPr>
          <w:r>
            <w:t>Original:</w:t>
          </w:r>
        </w:p>
      </w:tc>
      <w:tc>
        <w:tcPr>
          <w:tcW w:w="2382" w:type="dxa"/>
          <w:gridSpan w:val="2"/>
        </w:tcPr>
        <w:p w14:paraId="3C743162" w14:textId="77777777" w:rsidR="00F60C28" w:rsidRDefault="00F60C28" w:rsidP="002C30DA">
          <w:pPr>
            <w:jc w:val="right"/>
          </w:pPr>
          <w:bookmarkStart w:id="6" w:name="language"/>
          <w:r>
            <w:t>English</w:t>
          </w:r>
          <w:bookmarkEnd w:id="6"/>
        </w:p>
      </w:tc>
      <w:tc>
        <w:tcPr>
          <w:tcW w:w="390" w:type="dxa"/>
        </w:tcPr>
        <w:p w14:paraId="50975DDC" w14:textId="77777777" w:rsidR="00F60C28" w:rsidRDefault="00F60C28" w:rsidP="00387A65">
          <w:pPr>
            <w:jc w:val="right"/>
          </w:pPr>
        </w:p>
      </w:tc>
    </w:tr>
    <w:tr w:rsidR="00575669" w14:paraId="0E4BD782" w14:textId="77777777" w:rsidTr="002E12EC">
      <w:trPr>
        <w:trHeight w:val="409"/>
        <w:jc w:val="center"/>
      </w:trPr>
      <w:tc>
        <w:tcPr>
          <w:tcW w:w="8500" w:type="dxa"/>
          <w:gridSpan w:val="2"/>
        </w:tcPr>
        <w:p w14:paraId="3002CBC6" w14:textId="77777777" w:rsidR="00F60C28" w:rsidRDefault="00F60C28" w:rsidP="002C30DA">
          <w:pPr>
            <w:jc w:val="right"/>
          </w:pPr>
          <w:r>
            <w:t>Submitted:</w:t>
          </w:r>
        </w:p>
      </w:tc>
      <w:tc>
        <w:tcPr>
          <w:tcW w:w="2382" w:type="dxa"/>
          <w:gridSpan w:val="2"/>
        </w:tcPr>
        <w:p w14:paraId="765037E1" w14:textId="77777777" w:rsidR="00F60C28" w:rsidRDefault="00F60C28" w:rsidP="0097629D">
          <w:pPr>
            <w:jc w:val="right"/>
          </w:pPr>
          <w:bookmarkStart w:id="7" w:name="date_submission"/>
          <w:r>
            <w:t>19 Apr 2024</w:t>
          </w:r>
          <w:bookmarkEnd w:id="7"/>
        </w:p>
      </w:tc>
      <w:tc>
        <w:tcPr>
          <w:tcW w:w="390" w:type="dxa"/>
        </w:tcPr>
        <w:p w14:paraId="7E7CA17B" w14:textId="77777777" w:rsidR="00F60C28" w:rsidRDefault="00F60C28" w:rsidP="00387A65">
          <w:pPr>
            <w:jc w:val="right"/>
          </w:pPr>
        </w:p>
      </w:tc>
    </w:tr>
  </w:tbl>
  <w:p w14:paraId="0E975864" w14:textId="77777777" w:rsidR="00F60C28" w:rsidRDefault="00F60C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96F61" w14:textId="77777777" w:rsidR="000121F0" w:rsidRDefault="000121F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26" w:type="dxa"/>
      <w:jc w:val="center"/>
      <w:tblLook w:val="01E0" w:firstRow="1" w:lastRow="1" w:firstColumn="1" w:lastColumn="1" w:noHBand="0" w:noVBand="0"/>
    </w:tblPr>
    <w:tblGrid>
      <w:gridCol w:w="9694"/>
      <w:gridCol w:w="1332"/>
    </w:tblGrid>
    <w:tr w:rsidR="00575669" w14:paraId="50DB9E97" w14:textId="77777777">
      <w:trPr>
        <w:trHeight w:val="354"/>
        <w:jc w:val="center"/>
      </w:trPr>
      <w:tc>
        <w:tcPr>
          <w:tcW w:w="9694" w:type="dxa"/>
        </w:tcPr>
        <w:p w14:paraId="28EBA34F" w14:textId="47D45754" w:rsidR="00F60C28" w:rsidRPr="00BD47E4" w:rsidRDefault="00F60C28" w:rsidP="00C26F2D">
          <w:pPr>
            <w:jc w:val="right"/>
            <w:rPr>
              <w:b/>
              <w:sz w:val="32"/>
              <w:szCs w:val="32"/>
            </w:rPr>
          </w:pPr>
          <w:r>
            <w:rPr>
              <w:b/>
              <w:sz w:val="32"/>
              <w:szCs w:val="32"/>
            </w:rPr>
            <w:t>IP</w:t>
          </w:r>
        </w:p>
      </w:tc>
      <w:tc>
        <w:tcPr>
          <w:tcW w:w="1332" w:type="dxa"/>
        </w:tcPr>
        <w:p w14:paraId="72E4DC12" w14:textId="5C20C049" w:rsidR="00F60C28" w:rsidRPr="00BD47E4" w:rsidRDefault="00F60C28" w:rsidP="00080F4C">
          <w:pPr>
            <w:rPr>
              <w:b/>
              <w:sz w:val="32"/>
              <w:szCs w:val="32"/>
            </w:rPr>
          </w:pPr>
          <w:r>
            <w:rPr>
              <w:b/>
              <w:sz w:val="32"/>
              <w:szCs w:val="32"/>
            </w:rPr>
            <w:t>140</w:t>
          </w:r>
        </w:p>
      </w:tc>
    </w:tr>
  </w:tbl>
  <w:p w14:paraId="145FF108" w14:textId="77777777" w:rsidR="00F60C28" w:rsidRDefault="00F60C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04498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E0EC73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EB63E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D2F9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114CC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141F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DA27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82BAE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A6C13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CC03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F9465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278311D"/>
    <w:multiLevelType w:val="multilevel"/>
    <w:tmpl w:val="B0D454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86577EA"/>
    <w:multiLevelType w:val="hybridMultilevel"/>
    <w:tmpl w:val="21A63D98"/>
    <w:lvl w:ilvl="0" w:tplc="AC2EDB2C">
      <w:start w:val="1"/>
      <w:numFmt w:val="bullet"/>
      <w:pStyle w:val="ATSBullet1"/>
      <w:lvlText w:val=""/>
      <w:lvlJc w:val="left"/>
      <w:pPr>
        <w:tabs>
          <w:tab w:val="num" w:pos="360"/>
        </w:tabs>
        <w:ind w:left="360" w:hanging="360"/>
      </w:pPr>
      <w:rPr>
        <w:rFonts w:ascii="Symbol" w:hAnsi="Symbol" w:hint="default"/>
        <w:color w:val="auto"/>
      </w:rPr>
    </w:lvl>
    <w:lvl w:ilvl="1" w:tplc="E3B8A970">
      <w:start w:val="1"/>
      <w:numFmt w:val="bullet"/>
      <w:lvlText w:val="o"/>
      <w:lvlJc w:val="left"/>
      <w:pPr>
        <w:tabs>
          <w:tab w:val="num" w:pos="1440"/>
        </w:tabs>
        <w:ind w:left="1440" w:hanging="360"/>
      </w:pPr>
      <w:rPr>
        <w:rFonts w:ascii="Courier New" w:hAnsi="Courier New" w:cs="Courier New" w:hint="default"/>
      </w:rPr>
    </w:lvl>
    <w:lvl w:ilvl="2" w:tplc="B360D64A" w:tentative="1">
      <w:start w:val="1"/>
      <w:numFmt w:val="bullet"/>
      <w:lvlText w:val=""/>
      <w:lvlJc w:val="left"/>
      <w:pPr>
        <w:tabs>
          <w:tab w:val="num" w:pos="2160"/>
        </w:tabs>
        <w:ind w:left="2160" w:hanging="360"/>
      </w:pPr>
      <w:rPr>
        <w:rFonts w:ascii="Wingdings" w:hAnsi="Wingdings" w:hint="default"/>
      </w:rPr>
    </w:lvl>
    <w:lvl w:ilvl="3" w:tplc="6542F828" w:tentative="1">
      <w:start w:val="1"/>
      <w:numFmt w:val="bullet"/>
      <w:lvlText w:val=""/>
      <w:lvlJc w:val="left"/>
      <w:pPr>
        <w:tabs>
          <w:tab w:val="num" w:pos="2880"/>
        </w:tabs>
        <w:ind w:left="2880" w:hanging="360"/>
      </w:pPr>
      <w:rPr>
        <w:rFonts w:ascii="Symbol" w:hAnsi="Symbol" w:hint="default"/>
      </w:rPr>
    </w:lvl>
    <w:lvl w:ilvl="4" w:tplc="974A5CF2" w:tentative="1">
      <w:start w:val="1"/>
      <w:numFmt w:val="bullet"/>
      <w:lvlText w:val="o"/>
      <w:lvlJc w:val="left"/>
      <w:pPr>
        <w:tabs>
          <w:tab w:val="num" w:pos="3600"/>
        </w:tabs>
        <w:ind w:left="3600" w:hanging="360"/>
      </w:pPr>
      <w:rPr>
        <w:rFonts w:ascii="Courier New" w:hAnsi="Courier New" w:cs="Courier New" w:hint="default"/>
      </w:rPr>
    </w:lvl>
    <w:lvl w:ilvl="5" w:tplc="40F0971E" w:tentative="1">
      <w:start w:val="1"/>
      <w:numFmt w:val="bullet"/>
      <w:lvlText w:val=""/>
      <w:lvlJc w:val="left"/>
      <w:pPr>
        <w:tabs>
          <w:tab w:val="num" w:pos="4320"/>
        </w:tabs>
        <w:ind w:left="4320" w:hanging="360"/>
      </w:pPr>
      <w:rPr>
        <w:rFonts w:ascii="Wingdings" w:hAnsi="Wingdings" w:hint="default"/>
      </w:rPr>
    </w:lvl>
    <w:lvl w:ilvl="6" w:tplc="C2E213A2" w:tentative="1">
      <w:start w:val="1"/>
      <w:numFmt w:val="bullet"/>
      <w:lvlText w:val=""/>
      <w:lvlJc w:val="left"/>
      <w:pPr>
        <w:tabs>
          <w:tab w:val="num" w:pos="5040"/>
        </w:tabs>
        <w:ind w:left="5040" w:hanging="360"/>
      </w:pPr>
      <w:rPr>
        <w:rFonts w:ascii="Symbol" w:hAnsi="Symbol" w:hint="default"/>
      </w:rPr>
    </w:lvl>
    <w:lvl w:ilvl="7" w:tplc="69FEC7A8" w:tentative="1">
      <w:start w:val="1"/>
      <w:numFmt w:val="bullet"/>
      <w:lvlText w:val="o"/>
      <w:lvlJc w:val="left"/>
      <w:pPr>
        <w:tabs>
          <w:tab w:val="num" w:pos="5760"/>
        </w:tabs>
        <w:ind w:left="5760" w:hanging="360"/>
      </w:pPr>
      <w:rPr>
        <w:rFonts w:ascii="Courier New" w:hAnsi="Courier New" w:cs="Courier New" w:hint="default"/>
      </w:rPr>
    </w:lvl>
    <w:lvl w:ilvl="8" w:tplc="F85A29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D35C15"/>
    <w:multiLevelType w:val="hybridMultilevel"/>
    <w:tmpl w:val="A8A2E45C"/>
    <w:lvl w:ilvl="0" w:tplc="F1F6254E">
      <w:start w:val="1"/>
      <w:numFmt w:val="decimal"/>
      <w:lvlText w:val="%1)"/>
      <w:lvlJc w:val="left"/>
      <w:pPr>
        <w:tabs>
          <w:tab w:val="num" w:pos="340"/>
        </w:tabs>
        <w:ind w:left="340" w:hanging="340"/>
      </w:pPr>
      <w:rPr>
        <w:rFonts w:hint="default"/>
      </w:rPr>
    </w:lvl>
    <w:lvl w:ilvl="1" w:tplc="9E14EBFC" w:tentative="1">
      <w:start w:val="1"/>
      <w:numFmt w:val="lowerLetter"/>
      <w:lvlText w:val="%2."/>
      <w:lvlJc w:val="left"/>
      <w:pPr>
        <w:tabs>
          <w:tab w:val="num" w:pos="1440"/>
        </w:tabs>
        <w:ind w:left="1440" w:hanging="360"/>
      </w:pPr>
    </w:lvl>
    <w:lvl w:ilvl="2" w:tplc="C02E4362" w:tentative="1">
      <w:start w:val="1"/>
      <w:numFmt w:val="lowerRoman"/>
      <w:lvlText w:val="%3."/>
      <w:lvlJc w:val="right"/>
      <w:pPr>
        <w:tabs>
          <w:tab w:val="num" w:pos="2160"/>
        </w:tabs>
        <w:ind w:left="2160" w:hanging="180"/>
      </w:pPr>
    </w:lvl>
    <w:lvl w:ilvl="3" w:tplc="92AEC4F4" w:tentative="1">
      <w:start w:val="1"/>
      <w:numFmt w:val="decimal"/>
      <w:lvlText w:val="%4."/>
      <w:lvlJc w:val="left"/>
      <w:pPr>
        <w:tabs>
          <w:tab w:val="num" w:pos="2880"/>
        </w:tabs>
        <w:ind w:left="2880" w:hanging="360"/>
      </w:pPr>
    </w:lvl>
    <w:lvl w:ilvl="4" w:tplc="62887A66" w:tentative="1">
      <w:start w:val="1"/>
      <w:numFmt w:val="lowerLetter"/>
      <w:lvlText w:val="%5."/>
      <w:lvlJc w:val="left"/>
      <w:pPr>
        <w:tabs>
          <w:tab w:val="num" w:pos="3600"/>
        </w:tabs>
        <w:ind w:left="3600" w:hanging="360"/>
      </w:pPr>
    </w:lvl>
    <w:lvl w:ilvl="5" w:tplc="0AB893BA" w:tentative="1">
      <w:start w:val="1"/>
      <w:numFmt w:val="lowerRoman"/>
      <w:lvlText w:val="%6."/>
      <w:lvlJc w:val="right"/>
      <w:pPr>
        <w:tabs>
          <w:tab w:val="num" w:pos="4320"/>
        </w:tabs>
        <w:ind w:left="4320" w:hanging="180"/>
      </w:pPr>
    </w:lvl>
    <w:lvl w:ilvl="6" w:tplc="C48CA25C" w:tentative="1">
      <w:start w:val="1"/>
      <w:numFmt w:val="decimal"/>
      <w:lvlText w:val="%7."/>
      <w:lvlJc w:val="left"/>
      <w:pPr>
        <w:tabs>
          <w:tab w:val="num" w:pos="5040"/>
        </w:tabs>
        <w:ind w:left="5040" w:hanging="360"/>
      </w:pPr>
    </w:lvl>
    <w:lvl w:ilvl="7" w:tplc="358E1A64" w:tentative="1">
      <w:start w:val="1"/>
      <w:numFmt w:val="lowerLetter"/>
      <w:lvlText w:val="%8."/>
      <w:lvlJc w:val="left"/>
      <w:pPr>
        <w:tabs>
          <w:tab w:val="num" w:pos="5760"/>
        </w:tabs>
        <w:ind w:left="5760" w:hanging="360"/>
      </w:pPr>
    </w:lvl>
    <w:lvl w:ilvl="8" w:tplc="B3C65EC2" w:tentative="1">
      <w:start w:val="1"/>
      <w:numFmt w:val="lowerRoman"/>
      <w:lvlText w:val="%9."/>
      <w:lvlJc w:val="right"/>
      <w:pPr>
        <w:tabs>
          <w:tab w:val="num" w:pos="6480"/>
        </w:tabs>
        <w:ind w:left="6480" w:hanging="180"/>
      </w:pPr>
    </w:lvl>
  </w:abstractNum>
  <w:abstractNum w:abstractNumId="14" w15:restartNumberingAfterBreak="0">
    <w:nsid w:val="642F3AFA"/>
    <w:multiLevelType w:val="hybridMultilevel"/>
    <w:tmpl w:val="9DF09BE6"/>
    <w:lvl w:ilvl="0" w:tplc="7AAA65B2">
      <w:start w:val="1"/>
      <w:numFmt w:val="decimal"/>
      <w:lvlText w:val="%1."/>
      <w:lvlJc w:val="left"/>
      <w:pPr>
        <w:tabs>
          <w:tab w:val="num" w:pos="1057"/>
        </w:tabs>
        <w:ind w:left="1057" w:hanging="360"/>
      </w:pPr>
      <w:rPr>
        <w:rFonts w:hint="default"/>
      </w:rPr>
    </w:lvl>
    <w:lvl w:ilvl="1" w:tplc="BCF6BAE8" w:tentative="1">
      <w:start w:val="1"/>
      <w:numFmt w:val="lowerLetter"/>
      <w:lvlText w:val="%2."/>
      <w:lvlJc w:val="left"/>
      <w:pPr>
        <w:tabs>
          <w:tab w:val="num" w:pos="2137"/>
        </w:tabs>
        <w:ind w:left="2137" w:hanging="360"/>
      </w:pPr>
    </w:lvl>
    <w:lvl w:ilvl="2" w:tplc="D9AC4A68" w:tentative="1">
      <w:start w:val="1"/>
      <w:numFmt w:val="lowerRoman"/>
      <w:lvlText w:val="%3."/>
      <w:lvlJc w:val="right"/>
      <w:pPr>
        <w:tabs>
          <w:tab w:val="num" w:pos="2857"/>
        </w:tabs>
        <w:ind w:left="2857" w:hanging="180"/>
      </w:pPr>
    </w:lvl>
    <w:lvl w:ilvl="3" w:tplc="FA74F9EC" w:tentative="1">
      <w:start w:val="1"/>
      <w:numFmt w:val="decimal"/>
      <w:lvlText w:val="%4."/>
      <w:lvlJc w:val="left"/>
      <w:pPr>
        <w:tabs>
          <w:tab w:val="num" w:pos="3577"/>
        </w:tabs>
        <w:ind w:left="3577" w:hanging="360"/>
      </w:pPr>
    </w:lvl>
    <w:lvl w:ilvl="4" w:tplc="9AA2C960" w:tentative="1">
      <w:start w:val="1"/>
      <w:numFmt w:val="lowerLetter"/>
      <w:lvlText w:val="%5."/>
      <w:lvlJc w:val="left"/>
      <w:pPr>
        <w:tabs>
          <w:tab w:val="num" w:pos="4297"/>
        </w:tabs>
        <w:ind w:left="4297" w:hanging="360"/>
      </w:pPr>
    </w:lvl>
    <w:lvl w:ilvl="5" w:tplc="153A9C26" w:tentative="1">
      <w:start w:val="1"/>
      <w:numFmt w:val="lowerRoman"/>
      <w:lvlText w:val="%6."/>
      <w:lvlJc w:val="right"/>
      <w:pPr>
        <w:tabs>
          <w:tab w:val="num" w:pos="5017"/>
        </w:tabs>
        <w:ind w:left="5017" w:hanging="180"/>
      </w:pPr>
    </w:lvl>
    <w:lvl w:ilvl="6" w:tplc="EFA430AC" w:tentative="1">
      <w:start w:val="1"/>
      <w:numFmt w:val="decimal"/>
      <w:lvlText w:val="%7."/>
      <w:lvlJc w:val="left"/>
      <w:pPr>
        <w:tabs>
          <w:tab w:val="num" w:pos="5737"/>
        </w:tabs>
        <w:ind w:left="5737" w:hanging="360"/>
      </w:pPr>
    </w:lvl>
    <w:lvl w:ilvl="7" w:tplc="BAF6E46E" w:tentative="1">
      <w:start w:val="1"/>
      <w:numFmt w:val="lowerLetter"/>
      <w:lvlText w:val="%8."/>
      <w:lvlJc w:val="left"/>
      <w:pPr>
        <w:tabs>
          <w:tab w:val="num" w:pos="6457"/>
        </w:tabs>
        <w:ind w:left="6457" w:hanging="360"/>
      </w:pPr>
    </w:lvl>
    <w:lvl w:ilvl="8" w:tplc="D3A63F88" w:tentative="1">
      <w:start w:val="1"/>
      <w:numFmt w:val="lowerRoman"/>
      <w:lvlText w:val="%9."/>
      <w:lvlJc w:val="right"/>
      <w:pPr>
        <w:tabs>
          <w:tab w:val="num" w:pos="7177"/>
        </w:tabs>
        <w:ind w:left="7177" w:hanging="180"/>
      </w:pPr>
    </w:lvl>
  </w:abstractNum>
  <w:abstractNum w:abstractNumId="15" w15:restartNumberingAfterBreak="0">
    <w:nsid w:val="7212657C"/>
    <w:multiLevelType w:val="hybridMultilevel"/>
    <w:tmpl w:val="0A8E2A84"/>
    <w:lvl w:ilvl="0" w:tplc="6A2E0176">
      <w:start w:val="1"/>
      <w:numFmt w:val="decimal"/>
      <w:pStyle w:val="ATSNumber1"/>
      <w:lvlText w:val="%1)"/>
      <w:lvlJc w:val="left"/>
      <w:pPr>
        <w:tabs>
          <w:tab w:val="num" w:pos="720"/>
        </w:tabs>
        <w:ind w:left="720" w:hanging="360"/>
      </w:pPr>
    </w:lvl>
    <w:lvl w:ilvl="1" w:tplc="73EA6112" w:tentative="1">
      <w:start w:val="1"/>
      <w:numFmt w:val="lowerLetter"/>
      <w:lvlText w:val="%2."/>
      <w:lvlJc w:val="left"/>
      <w:pPr>
        <w:tabs>
          <w:tab w:val="num" w:pos="1440"/>
        </w:tabs>
        <w:ind w:left="1440" w:hanging="360"/>
      </w:pPr>
    </w:lvl>
    <w:lvl w:ilvl="2" w:tplc="825A1B0A" w:tentative="1">
      <w:start w:val="1"/>
      <w:numFmt w:val="lowerRoman"/>
      <w:lvlText w:val="%3."/>
      <w:lvlJc w:val="right"/>
      <w:pPr>
        <w:tabs>
          <w:tab w:val="num" w:pos="2160"/>
        </w:tabs>
        <w:ind w:left="2160" w:hanging="180"/>
      </w:pPr>
    </w:lvl>
    <w:lvl w:ilvl="3" w:tplc="AFC80CCC" w:tentative="1">
      <w:start w:val="1"/>
      <w:numFmt w:val="decimal"/>
      <w:lvlText w:val="%4."/>
      <w:lvlJc w:val="left"/>
      <w:pPr>
        <w:tabs>
          <w:tab w:val="num" w:pos="2880"/>
        </w:tabs>
        <w:ind w:left="2880" w:hanging="360"/>
      </w:pPr>
    </w:lvl>
    <w:lvl w:ilvl="4" w:tplc="62C6DD7C" w:tentative="1">
      <w:start w:val="1"/>
      <w:numFmt w:val="lowerLetter"/>
      <w:lvlText w:val="%5."/>
      <w:lvlJc w:val="left"/>
      <w:pPr>
        <w:tabs>
          <w:tab w:val="num" w:pos="3600"/>
        </w:tabs>
        <w:ind w:left="3600" w:hanging="360"/>
      </w:pPr>
    </w:lvl>
    <w:lvl w:ilvl="5" w:tplc="8924A668" w:tentative="1">
      <w:start w:val="1"/>
      <w:numFmt w:val="lowerRoman"/>
      <w:lvlText w:val="%6."/>
      <w:lvlJc w:val="right"/>
      <w:pPr>
        <w:tabs>
          <w:tab w:val="num" w:pos="4320"/>
        </w:tabs>
        <w:ind w:left="4320" w:hanging="180"/>
      </w:pPr>
    </w:lvl>
    <w:lvl w:ilvl="6" w:tplc="5D4C929C" w:tentative="1">
      <w:start w:val="1"/>
      <w:numFmt w:val="decimal"/>
      <w:lvlText w:val="%7."/>
      <w:lvlJc w:val="left"/>
      <w:pPr>
        <w:tabs>
          <w:tab w:val="num" w:pos="5040"/>
        </w:tabs>
        <w:ind w:left="5040" w:hanging="360"/>
      </w:pPr>
    </w:lvl>
    <w:lvl w:ilvl="7" w:tplc="F112C0C2" w:tentative="1">
      <w:start w:val="1"/>
      <w:numFmt w:val="lowerLetter"/>
      <w:lvlText w:val="%8."/>
      <w:lvlJc w:val="left"/>
      <w:pPr>
        <w:tabs>
          <w:tab w:val="num" w:pos="5760"/>
        </w:tabs>
        <w:ind w:left="5760" w:hanging="360"/>
      </w:pPr>
    </w:lvl>
    <w:lvl w:ilvl="8" w:tplc="56B0F390" w:tentative="1">
      <w:start w:val="1"/>
      <w:numFmt w:val="lowerRoman"/>
      <w:lvlText w:val="%9."/>
      <w:lvlJc w:val="right"/>
      <w:pPr>
        <w:tabs>
          <w:tab w:val="num" w:pos="6480"/>
        </w:tabs>
        <w:ind w:left="6480" w:hanging="180"/>
      </w:pPr>
    </w:lvl>
  </w:abstractNum>
  <w:abstractNum w:abstractNumId="16" w15:restartNumberingAfterBreak="0">
    <w:nsid w:val="743D2161"/>
    <w:multiLevelType w:val="hybridMultilevel"/>
    <w:tmpl w:val="B0868D9E"/>
    <w:lvl w:ilvl="0" w:tplc="A90CCD66">
      <w:start w:val="1"/>
      <w:numFmt w:val="bullet"/>
      <w:pStyle w:val="ATSBullet2"/>
      <w:lvlText w:val="-"/>
      <w:lvlJc w:val="left"/>
      <w:pPr>
        <w:tabs>
          <w:tab w:val="num" w:pos="1080"/>
        </w:tabs>
        <w:ind w:left="1080" w:hanging="360"/>
      </w:pPr>
      <w:rPr>
        <w:rFonts w:ascii="Times New Roman" w:hAnsi="Times New Roman" w:cs="Times New Roman" w:hint="default"/>
        <w:color w:val="auto"/>
      </w:rPr>
    </w:lvl>
    <w:lvl w:ilvl="1" w:tplc="4962B750" w:tentative="1">
      <w:start w:val="1"/>
      <w:numFmt w:val="bullet"/>
      <w:lvlText w:val="o"/>
      <w:lvlJc w:val="left"/>
      <w:pPr>
        <w:tabs>
          <w:tab w:val="num" w:pos="2517"/>
        </w:tabs>
        <w:ind w:left="2517" w:hanging="360"/>
      </w:pPr>
      <w:rPr>
        <w:rFonts w:ascii="Courier New" w:hAnsi="Courier New" w:cs="Courier New" w:hint="default"/>
      </w:rPr>
    </w:lvl>
    <w:lvl w:ilvl="2" w:tplc="150CEB70" w:tentative="1">
      <w:start w:val="1"/>
      <w:numFmt w:val="bullet"/>
      <w:lvlText w:val=""/>
      <w:lvlJc w:val="left"/>
      <w:pPr>
        <w:tabs>
          <w:tab w:val="num" w:pos="3237"/>
        </w:tabs>
        <w:ind w:left="3237" w:hanging="360"/>
      </w:pPr>
      <w:rPr>
        <w:rFonts w:ascii="Wingdings" w:hAnsi="Wingdings" w:hint="default"/>
      </w:rPr>
    </w:lvl>
    <w:lvl w:ilvl="3" w:tplc="E2FC8862" w:tentative="1">
      <w:start w:val="1"/>
      <w:numFmt w:val="bullet"/>
      <w:lvlText w:val=""/>
      <w:lvlJc w:val="left"/>
      <w:pPr>
        <w:tabs>
          <w:tab w:val="num" w:pos="3957"/>
        </w:tabs>
        <w:ind w:left="3957" w:hanging="360"/>
      </w:pPr>
      <w:rPr>
        <w:rFonts w:ascii="Symbol" w:hAnsi="Symbol" w:hint="default"/>
      </w:rPr>
    </w:lvl>
    <w:lvl w:ilvl="4" w:tplc="7D22EF00" w:tentative="1">
      <w:start w:val="1"/>
      <w:numFmt w:val="bullet"/>
      <w:lvlText w:val="o"/>
      <w:lvlJc w:val="left"/>
      <w:pPr>
        <w:tabs>
          <w:tab w:val="num" w:pos="4677"/>
        </w:tabs>
        <w:ind w:left="4677" w:hanging="360"/>
      </w:pPr>
      <w:rPr>
        <w:rFonts w:ascii="Courier New" w:hAnsi="Courier New" w:cs="Courier New" w:hint="default"/>
      </w:rPr>
    </w:lvl>
    <w:lvl w:ilvl="5" w:tplc="7056F682" w:tentative="1">
      <w:start w:val="1"/>
      <w:numFmt w:val="bullet"/>
      <w:lvlText w:val=""/>
      <w:lvlJc w:val="left"/>
      <w:pPr>
        <w:tabs>
          <w:tab w:val="num" w:pos="5397"/>
        </w:tabs>
        <w:ind w:left="5397" w:hanging="360"/>
      </w:pPr>
      <w:rPr>
        <w:rFonts w:ascii="Wingdings" w:hAnsi="Wingdings" w:hint="default"/>
      </w:rPr>
    </w:lvl>
    <w:lvl w:ilvl="6" w:tplc="85DA695A" w:tentative="1">
      <w:start w:val="1"/>
      <w:numFmt w:val="bullet"/>
      <w:lvlText w:val=""/>
      <w:lvlJc w:val="left"/>
      <w:pPr>
        <w:tabs>
          <w:tab w:val="num" w:pos="6117"/>
        </w:tabs>
        <w:ind w:left="6117" w:hanging="360"/>
      </w:pPr>
      <w:rPr>
        <w:rFonts w:ascii="Symbol" w:hAnsi="Symbol" w:hint="default"/>
      </w:rPr>
    </w:lvl>
    <w:lvl w:ilvl="7" w:tplc="0B88D87A" w:tentative="1">
      <w:start w:val="1"/>
      <w:numFmt w:val="bullet"/>
      <w:lvlText w:val="o"/>
      <w:lvlJc w:val="left"/>
      <w:pPr>
        <w:tabs>
          <w:tab w:val="num" w:pos="6837"/>
        </w:tabs>
        <w:ind w:left="6837" w:hanging="360"/>
      </w:pPr>
      <w:rPr>
        <w:rFonts w:ascii="Courier New" w:hAnsi="Courier New" w:cs="Courier New" w:hint="default"/>
      </w:rPr>
    </w:lvl>
    <w:lvl w:ilvl="8" w:tplc="79D2D19C" w:tentative="1">
      <w:start w:val="1"/>
      <w:numFmt w:val="bullet"/>
      <w:lvlText w:val=""/>
      <w:lvlJc w:val="left"/>
      <w:pPr>
        <w:tabs>
          <w:tab w:val="num" w:pos="7557"/>
        </w:tabs>
        <w:ind w:left="7557" w:hanging="360"/>
      </w:pPr>
      <w:rPr>
        <w:rFonts w:ascii="Wingdings" w:hAnsi="Wingdings" w:hint="default"/>
      </w:rPr>
    </w:lvl>
  </w:abstractNum>
  <w:abstractNum w:abstractNumId="17" w15:restartNumberingAfterBreak="0">
    <w:nsid w:val="7C866FC0"/>
    <w:multiLevelType w:val="hybridMultilevel"/>
    <w:tmpl w:val="57EA2900"/>
    <w:lvl w:ilvl="0" w:tplc="ED961378">
      <w:start w:val="1"/>
      <w:numFmt w:val="decimal"/>
      <w:pStyle w:val="ATSNumber2"/>
      <w:lvlText w:val="%1."/>
      <w:lvlJc w:val="left"/>
      <w:pPr>
        <w:tabs>
          <w:tab w:val="num" w:pos="720"/>
        </w:tabs>
        <w:ind w:left="720" w:hanging="360"/>
      </w:pPr>
      <w:rPr>
        <w:rFonts w:hint="default"/>
      </w:rPr>
    </w:lvl>
    <w:lvl w:ilvl="1" w:tplc="3BFCB9C6" w:tentative="1">
      <w:start w:val="1"/>
      <w:numFmt w:val="lowerLetter"/>
      <w:lvlText w:val="%2."/>
      <w:lvlJc w:val="left"/>
      <w:pPr>
        <w:tabs>
          <w:tab w:val="num" w:pos="1440"/>
        </w:tabs>
        <w:ind w:left="1440" w:hanging="360"/>
      </w:pPr>
    </w:lvl>
    <w:lvl w:ilvl="2" w:tplc="7464AED2" w:tentative="1">
      <w:start w:val="1"/>
      <w:numFmt w:val="lowerRoman"/>
      <w:lvlText w:val="%3."/>
      <w:lvlJc w:val="right"/>
      <w:pPr>
        <w:tabs>
          <w:tab w:val="num" w:pos="2160"/>
        </w:tabs>
        <w:ind w:left="2160" w:hanging="180"/>
      </w:pPr>
    </w:lvl>
    <w:lvl w:ilvl="3" w:tplc="55F40956" w:tentative="1">
      <w:start w:val="1"/>
      <w:numFmt w:val="decimal"/>
      <w:lvlText w:val="%4."/>
      <w:lvlJc w:val="left"/>
      <w:pPr>
        <w:tabs>
          <w:tab w:val="num" w:pos="2880"/>
        </w:tabs>
        <w:ind w:left="2880" w:hanging="360"/>
      </w:pPr>
    </w:lvl>
    <w:lvl w:ilvl="4" w:tplc="8C540DE0" w:tentative="1">
      <w:start w:val="1"/>
      <w:numFmt w:val="lowerLetter"/>
      <w:lvlText w:val="%5."/>
      <w:lvlJc w:val="left"/>
      <w:pPr>
        <w:tabs>
          <w:tab w:val="num" w:pos="3600"/>
        </w:tabs>
        <w:ind w:left="3600" w:hanging="360"/>
      </w:pPr>
    </w:lvl>
    <w:lvl w:ilvl="5" w:tplc="8A2EA7C4" w:tentative="1">
      <w:start w:val="1"/>
      <w:numFmt w:val="lowerRoman"/>
      <w:lvlText w:val="%6."/>
      <w:lvlJc w:val="right"/>
      <w:pPr>
        <w:tabs>
          <w:tab w:val="num" w:pos="4320"/>
        </w:tabs>
        <w:ind w:left="4320" w:hanging="180"/>
      </w:pPr>
    </w:lvl>
    <w:lvl w:ilvl="6" w:tplc="A1C8F244" w:tentative="1">
      <w:start w:val="1"/>
      <w:numFmt w:val="decimal"/>
      <w:lvlText w:val="%7."/>
      <w:lvlJc w:val="left"/>
      <w:pPr>
        <w:tabs>
          <w:tab w:val="num" w:pos="5040"/>
        </w:tabs>
        <w:ind w:left="5040" w:hanging="360"/>
      </w:pPr>
    </w:lvl>
    <w:lvl w:ilvl="7" w:tplc="B33CA782" w:tentative="1">
      <w:start w:val="1"/>
      <w:numFmt w:val="lowerLetter"/>
      <w:lvlText w:val="%8."/>
      <w:lvlJc w:val="left"/>
      <w:pPr>
        <w:tabs>
          <w:tab w:val="num" w:pos="5760"/>
        </w:tabs>
        <w:ind w:left="5760" w:hanging="360"/>
      </w:pPr>
    </w:lvl>
    <w:lvl w:ilvl="8" w:tplc="D770A45E" w:tentative="1">
      <w:start w:val="1"/>
      <w:numFmt w:val="lowerRoman"/>
      <w:lvlText w:val="%9."/>
      <w:lvlJc w:val="right"/>
      <w:pPr>
        <w:tabs>
          <w:tab w:val="num" w:pos="6480"/>
        </w:tabs>
        <w:ind w:left="6480" w:hanging="180"/>
      </w:pPr>
    </w:lvl>
  </w:abstractNum>
  <w:num w:numId="1" w16cid:durableId="1923828226">
    <w:abstractNumId w:val="9"/>
  </w:num>
  <w:num w:numId="2" w16cid:durableId="1890846421">
    <w:abstractNumId w:val="7"/>
  </w:num>
  <w:num w:numId="3" w16cid:durableId="1113944426">
    <w:abstractNumId w:val="6"/>
  </w:num>
  <w:num w:numId="4" w16cid:durableId="615914837">
    <w:abstractNumId w:val="5"/>
  </w:num>
  <w:num w:numId="5" w16cid:durableId="1082141442">
    <w:abstractNumId w:val="4"/>
  </w:num>
  <w:num w:numId="6" w16cid:durableId="1025788411">
    <w:abstractNumId w:val="8"/>
  </w:num>
  <w:num w:numId="7" w16cid:durableId="959144938">
    <w:abstractNumId w:val="3"/>
  </w:num>
  <w:num w:numId="8" w16cid:durableId="645205763">
    <w:abstractNumId w:val="2"/>
  </w:num>
  <w:num w:numId="9" w16cid:durableId="1524511831">
    <w:abstractNumId w:val="1"/>
  </w:num>
  <w:num w:numId="10" w16cid:durableId="670445556">
    <w:abstractNumId w:val="0"/>
  </w:num>
  <w:num w:numId="11" w16cid:durableId="2092462928">
    <w:abstractNumId w:val="12"/>
  </w:num>
  <w:num w:numId="12" w16cid:durableId="966666987">
    <w:abstractNumId w:val="16"/>
  </w:num>
  <w:num w:numId="13" w16cid:durableId="817692974">
    <w:abstractNumId w:val="15"/>
  </w:num>
  <w:num w:numId="14" w16cid:durableId="3022519">
    <w:abstractNumId w:val="13"/>
  </w:num>
  <w:num w:numId="15" w16cid:durableId="113136150">
    <w:abstractNumId w:val="14"/>
  </w:num>
  <w:num w:numId="16" w16cid:durableId="1833598235">
    <w:abstractNumId w:val="10"/>
  </w:num>
  <w:num w:numId="17" w16cid:durableId="2010055738">
    <w:abstractNumId w:val="12"/>
  </w:num>
  <w:num w:numId="18" w16cid:durableId="182091547">
    <w:abstractNumId w:val="16"/>
  </w:num>
  <w:num w:numId="19" w16cid:durableId="1889292599">
    <w:abstractNumId w:val="15"/>
  </w:num>
  <w:num w:numId="20" w16cid:durableId="1612276499">
    <w:abstractNumId w:val="17"/>
  </w:num>
  <w:num w:numId="21" w16cid:durableId="1529896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669"/>
    <w:rsid w:val="000121F0"/>
    <w:rsid w:val="00575669"/>
    <w:rsid w:val="00F60C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E9277"/>
  <w15:chartTrackingRefBased/>
  <w15:docId w15:val="{DCAE3ECD-46A1-4F6B-BA28-A31B4A18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caption" w:semiHidden="1"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89F"/>
    <w:rPr>
      <w:sz w:val="22"/>
      <w:szCs w:val="24"/>
      <w:lang w:val="en-GB" w:eastAsia="en-US"/>
    </w:rPr>
  </w:style>
  <w:style w:type="paragraph" w:styleId="Ttulo1">
    <w:name w:val="heading 1"/>
    <w:basedOn w:val="Normal"/>
    <w:next w:val="Normal"/>
    <w:rsid w:val="001B789F"/>
    <w:pPr>
      <w:keepNext/>
      <w:spacing w:before="180" w:after="360"/>
      <w:jc w:val="center"/>
      <w:outlineLvl w:val="0"/>
    </w:pPr>
    <w:rPr>
      <w:rFonts w:ascii="Arial" w:hAnsi="Arial"/>
      <w:b/>
      <w:kern w:val="28"/>
      <w:sz w:val="32"/>
      <w:szCs w:val="20"/>
    </w:rPr>
  </w:style>
  <w:style w:type="paragraph" w:styleId="Ttulo2">
    <w:name w:val="heading 2"/>
    <w:basedOn w:val="Normal"/>
    <w:next w:val="Normal"/>
    <w:rsid w:val="001B789F"/>
    <w:pPr>
      <w:keepNext/>
      <w:spacing w:before="120" w:after="240"/>
      <w:outlineLvl w:val="1"/>
    </w:pPr>
    <w:rPr>
      <w:b/>
      <w:i/>
      <w:sz w:val="28"/>
      <w:szCs w:val="20"/>
    </w:rPr>
  </w:style>
  <w:style w:type="paragraph" w:styleId="Ttulo3">
    <w:name w:val="heading 3"/>
    <w:basedOn w:val="Normal"/>
    <w:next w:val="Normal"/>
    <w:rsid w:val="001B789F"/>
    <w:pPr>
      <w:keepNext/>
      <w:spacing w:before="120" w:after="180"/>
      <w:outlineLvl w:val="2"/>
    </w:pPr>
    <w:rPr>
      <w:rFonts w:eastAsia="SimSun"/>
      <w:b/>
      <w:sz w:val="24"/>
      <w:szCs w:val="20"/>
      <w:lang w:eastAsia="zh-CN"/>
    </w:rPr>
  </w:style>
  <w:style w:type="paragraph" w:styleId="Ttulo4">
    <w:name w:val="heading 4"/>
    <w:basedOn w:val="Normal"/>
    <w:next w:val="Normal"/>
    <w:rsid w:val="001B789F"/>
    <w:pPr>
      <w:keepNext/>
      <w:spacing w:before="60" w:after="120"/>
      <w:outlineLvl w:val="3"/>
    </w:pPr>
    <w:rPr>
      <w:b/>
      <w:bCs/>
      <w:i/>
      <w:szCs w:val="28"/>
    </w:rPr>
  </w:style>
  <w:style w:type="paragraph" w:styleId="Ttulo5">
    <w:name w:val="heading 5"/>
    <w:basedOn w:val="Normal"/>
    <w:next w:val="Normal"/>
    <w:rsid w:val="001B789F"/>
    <w:pPr>
      <w:spacing w:before="240" w:after="60"/>
      <w:outlineLvl w:val="4"/>
    </w:pPr>
    <w:rPr>
      <w:b/>
      <w:bCs/>
      <w:i/>
      <w:iCs/>
      <w:sz w:val="26"/>
      <w:szCs w:val="26"/>
    </w:rPr>
  </w:style>
  <w:style w:type="paragraph" w:styleId="Ttulo6">
    <w:name w:val="heading 6"/>
    <w:basedOn w:val="Normal"/>
    <w:next w:val="Normal"/>
    <w:rsid w:val="001B789F"/>
    <w:pPr>
      <w:spacing w:before="240" w:after="60"/>
      <w:outlineLvl w:val="5"/>
    </w:pPr>
    <w:rPr>
      <w:b/>
      <w:bCs/>
      <w:szCs w:val="22"/>
    </w:rPr>
  </w:style>
  <w:style w:type="paragraph" w:styleId="Ttulo7">
    <w:name w:val="heading 7"/>
    <w:basedOn w:val="Normal"/>
    <w:next w:val="Normal"/>
    <w:rsid w:val="001B789F"/>
    <w:pPr>
      <w:spacing w:before="240" w:after="60"/>
      <w:outlineLvl w:val="6"/>
    </w:pPr>
    <w:rPr>
      <w:sz w:val="24"/>
    </w:rPr>
  </w:style>
  <w:style w:type="paragraph" w:styleId="Ttulo8">
    <w:name w:val="heading 8"/>
    <w:basedOn w:val="Normal"/>
    <w:next w:val="Normal"/>
    <w:rsid w:val="001B789F"/>
    <w:pPr>
      <w:spacing w:before="240" w:after="60"/>
      <w:outlineLvl w:val="7"/>
    </w:pPr>
    <w:rPr>
      <w:i/>
      <w:iCs/>
      <w:sz w:val="24"/>
    </w:rPr>
  </w:style>
  <w:style w:type="paragraph" w:styleId="Ttulo9">
    <w:name w:val="heading 9"/>
    <w:basedOn w:val="Normal"/>
    <w:next w:val="Normal"/>
    <w:rsid w:val="001B789F"/>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TSNormal">
    <w:name w:val="ATS Normal"/>
    <w:basedOn w:val="Normal"/>
    <w:qFormat/>
    <w:rsid w:val="001B789F"/>
    <w:pPr>
      <w:spacing w:before="120" w:after="120"/>
    </w:pPr>
    <w:rPr>
      <w:lang w:eastAsia="en-GB"/>
    </w:rPr>
  </w:style>
  <w:style w:type="paragraph" w:customStyle="1" w:styleId="ATSBullet1">
    <w:name w:val="ATS Bullet 1"/>
    <w:basedOn w:val="ATSNormal"/>
    <w:qFormat/>
    <w:rsid w:val="001B789F"/>
    <w:pPr>
      <w:numPr>
        <w:numId w:val="17"/>
      </w:numPr>
      <w:spacing w:before="60" w:after="0"/>
    </w:pPr>
  </w:style>
  <w:style w:type="paragraph" w:customStyle="1" w:styleId="ATSBullet2">
    <w:name w:val="ATS Bullet 2"/>
    <w:basedOn w:val="ATSNormal"/>
    <w:qFormat/>
    <w:rsid w:val="001B789F"/>
    <w:pPr>
      <w:numPr>
        <w:numId w:val="18"/>
      </w:numPr>
      <w:tabs>
        <w:tab w:val="left" w:pos="720"/>
      </w:tabs>
      <w:spacing w:before="60" w:after="0"/>
    </w:pPr>
  </w:style>
  <w:style w:type="paragraph" w:customStyle="1" w:styleId="ATSCompact">
    <w:name w:val="ATS Compact"/>
    <w:basedOn w:val="ATSNormal"/>
    <w:qFormat/>
    <w:rsid w:val="001B789F"/>
    <w:pPr>
      <w:spacing w:before="0" w:after="0"/>
    </w:pPr>
  </w:style>
  <w:style w:type="paragraph" w:customStyle="1" w:styleId="ATSHeading1">
    <w:name w:val="ATS Heading 1"/>
    <w:basedOn w:val="ATSNormal"/>
    <w:next w:val="ATSNormal"/>
    <w:qFormat/>
    <w:rsid w:val="001B789F"/>
    <w:pPr>
      <w:spacing w:before="360" w:after="360"/>
      <w:jc w:val="center"/>
    </w:pPr>
    <w:rPr>
      <w:rFonts w:ascii="Arial" w:hAnsi="Arial"/>
      <w:b/>
      <w:sz w:val="32"/>
    </w:rPr>
  </w:style>
  <w:style w:type="paragraph" w:customStyle="1" w:styleId="ATSHeading2">
    <w:name w:val="ATS Heading 2"/>
    <w:basedOn w:val="ATSNormal"/>
    <w:next w:val="ATSNormal"/>
    <w:link w:val="ATSHeading2Char"/>
    <w:qFormat/>
    <w:rsid w:val="001B789F"/>
    <w:pPr>
      <w:spacing w:before="480"/>
      <w:jc w:val="both"/>
    </w:pPr>
    <w:rPr>
      <w:rFonts w:ascii="Arial" w:hAnsi="Arial"/>
      <w:b/>
      <w:i/>
      <w:sz w:val="24"/>
      <w:szCs w:val="22"/>
    </w:rPr>
  </w:style>
  <w:style w:type="paragraph" w:customStyle="1" w:styleId="ATSHeading3">
    <w:name w:val="ATS Heading 3"/>
    <w:basedOn w:val="ATSNormal"/>
    <w:next w:val="ATSNormal"/>
    <w:qFormat/>
    <w:rsid w:val="001B789F"/>
    <w:pPr>
      <w:spacing w:before="240" w:after="60"/>
    </w:pPr>
    <w:rPr>
      <w:b/>
    </w:rPr>
  </w:style>
  <w:style w:type="paragraph" w:customStyle="1" w:styleId="ATSHeading4">
    <w:name w:val="ATS Heading 4"/>
    <w:basedOn w:val="ATSNormal"/>
    <w:next w:val="ATSNormal"/>
    <w:qFormat/>
    <w:rsid w:val="001B789F"/>
    <w:pPr>
      <w:spacing w:before="240" w:after="60"/>
    </w:pPr>
    <w:rPr>
      <w:i/>
    </w:rPr>
  </w:style>
  <w:style w:type="paragraph" w:customStyle="1" w:styleId="AtsNumber">
    <w:name w:val="Ats Number"/>
    <w:basedOn w:val="ATSNormal"/>
    <w:qFormat/>
    <w:rsid w:val="001B789F"/>
    <w:pPr>
      <w:spacing w:before="60" w:after="0"/>
    </w:pPr>
  </w:style>
  <w:style w:type="paragraph" w:customStyle="1" w:styleId="ATSNumber1">
    <w:name w:val="ATS Number 1"/>
    <w:basedOn w:val="ATSNormal"/>
    <w:qFormat/>
    <w:rsid w:val="001B789F"/>
    <w:pPr>
      <w:numPr>
        <w:numId w:val="19"/>
      </w:numPr>
      <w:spacing w:before="60" w:after="0"/>
    </w:pPr>
  </w:style>
  <w:style w:type="paragraph" w:customStyle="1" w:styleId="ATSNumber2">
    <w:name w:val="ATS Number 2"/>
    <w:basedOn w:val="ATSNormal"/>
    <w:autoRedefine/>
    <w:qFormat/>
    <w:rsid w:val="001B789F"/>
    <w:pPr>
      <w:numPr>
        <w:numId w:val="20"/>
      </w:numPr>
      <w:spacing w:after="0"/>
      <w:jc w:val="both"/>
    </w:pPr>
  </w:style>
  <w:style w:type="paragraph" w:customStyle="1" w:styleId="ATSQuote">
    <w:name w:val="ATS Quote"/>
    <w:basedOn w:val="Normal"/>
    <w:qFormat/>
    <w:rsid w:val="001B789F"/>
    <w:pPr>
      <w:ind w:left="357"/>
    </w:pPr>
    <w:rPr>
      <w:i/>
      <w:szCs w:val="18"/>
    </w:rPr>
  </w:style>
  <w:style w:type="paragraph" w:customStyle="1" w:styleId="ATSTitle">
    <w:name w:val="ATS Title"/>
    <w:basedOn w:val="Normal"/>
    <w:qFormat/>
    <w:rsid w:val="001B789F"/>
    <w:pPr>
      <w:spacing w:before="360" w:after="360"/>
      <w:contextualSpacing/>
      <w:jc w:val="center"/>
    </w:pPr>
    <w:rPr>
      <w:rFonts w:ascii="Arial" w:hAnsi="Arial"/>
      <w:b/>
      <w:sz w:val="48"/>
    </w:rPr>
  </w:style>
  <w:style w:type="paragraph" w:styleId="Textodeglobo">
    <w:name w:val="Balloon Text"/>
    <w:basedOn w:val="Normal"/>
    <w:semiHidden/>
    <w:rsid w:val="001B789F"/>
    <w:rPr>
      <w:rFonts w:ascii="Tahoma" w:hAnsi="Tahoma" w:cs="Tahoma"/>
      <w:sz w:val="16"/>
      <w:szCs w:val="16"/>
    </w:rPr>
  </w:style>
  <w:style w:type="character" w:customStyle="1" w:styleId="BodyTextChar">
    <w:name w:val="Body Text Char"/>
    <w:semiHidden/>
    <w:rsid w:val="001B789F"/>
    <w:rPr>
      <w:sz w:val="24"/>
      <w:szCs w:val="22"/>
      <w:lang w:val="en-US" w:eastAsia="zh-CN" w:bidi="ar-SA"/>
    </w:rPr>
  </w:style>
  <w:style w:type="character" w:customStyle="1" w:styleId="CharacterStyle1">
    <w:name w:val="Character Style 1"/>
    <w:semiHidden/>
    <w:rsid w:val="001B789F"/>
    <w:rPr>
      <w:sz w:val="22"/>
      <w:szCs w:val="22"/>
    </w:rPr>
  </w:style>
  <w:style w:type="character" w:customStyle="1" w:styleId="descriptions1">
    <w:name w:val="descriptions1"/>
    <w:semiHidden/>
    <w:rsid w:val="001B789F"/>
    <w:rPr>
      <w:rFonts w:ascii="Verdana" w:hAnsi="Verdana" w:hint="default"/>
      <w:b/>
      <w:bCs/>
      <w:i w:val="0"/>
      <w:iCs w:val="0"/>
      <w:caps w:val="0"/>
      <w:smallCaps w:val="0"/>
      <w:color w:val="585858"/>
      <w:sz w:val="12"/>
      <w:szCs w:val="12"/>
    </w:rPr>
  </w:style>
  <w:style w:type="paragraph" w:styleId="Mapadeldocumento">
    <w:name w:val="Document Map"/>
    <w:basedOn w:val="Normal"/>
    <w:semiHidden/>
    <w:rsid w:val="001B789F"/>
    <w:pPr>
      <w:shd w:val="clear" w:color="auto" w:fill="000080"/>
    </w:pPr>
    <w:rPr>
      <w:rFonts w:ascii="Tahoma" w:hAnsi="Tahoma" w:cs="Tahoma"/>
      <w:sz w:val="20"/>
      <w:szCs w:val="20"/>
    </w:rPr>
  </w:style>
  <w:style w:type="character" w:styleId="Refdenotaalfinal">
    <w:name w:val="endnote reference"/>
    <w:semiHidden/>
    <w:rsid w:val="001B789F"/>
    <w:rPr>
      <w:vertAlign w:val="superscript"/>
    </w:rPr>
  </w:style>
  <w:style w:type="paragraph" w:styleId="Textonotaalfinal">
    <w:name w:val="endnote text"/>
    <w:basedOn w:val="Normal"/>
    <w:semiHidden/>
    <w:rsid w:val="001B789F"/>
    <w:rPr>
      <w:sz w:val="20"/>
      <w:szCs w:val="20"/>
    </w:rPr>
  </w:style>
  <w:style w:type="character" w:styleId="Hipervnculovisitado">
    <w:name w:val="FollowedHyperlink"/>
    <w:semiHidden/>
    <w:rsid w:val="001B789F"/>
    <w:rPr>
      <w:color w:val="800080"/>
      <w:u w:val="single"/>
    </w:rPr>
  </w:style>
  <w:style w:type="paragraph" w:styleId="Piedepgina">
    <w:name w:val="footer"/>
    <w:basedOn w:val="Normal"/>
    <w:semiHidden/>
    <w:rsid w:val="001B789F"/>
    <w:pPr>
      <w:tabs>
        <w:tab w:val="center" w:pos="4419"/>
        <w:tab w:val="right" w:pos="8838"/>
      </w:tabs>
    </w:pPr>
  </w:style>
  <w:style w:type="character" w:styleId="Refdenotaalpie">
    <w:name w:val="footnote reference"/>
    <w:rsid w:val="001B789F"/>
    <w:rPr>
      <w:vertAlign w:val="superscript"/>
    </w:rPr>
  </w:style>
  <w:style w:type="paragraph" w:styleId="Textonotapie">
    <w:name w:val="footnote text"/>
    <w:basedOn w:val="Normal"/>
    <w:rsid w:val="001B789F"/>
    <w:rPr>
      <w:szCs w:val="22"/>
    </w:rPr>
  </w:style>
  <w:style w:type="paragraph" w:styleId="Encabezado">
    <w:name w:val="header"/>
    <w:basedOn w:val="Normal"/>
    <w:semiHidden/>
    <w:rsid w:val="001B789F"/>
    <w:pPr>
      <w:tabs>
        <w:tab w:val="center" w:pos="4419"/>
        <w:tab w:val="right" w:pos="8838"/>
      </w:tabs>
    </w:pPr>
  </w:style>
  <w:style w:type="character" w:styleId="Hipervnculo">
    <w:name w:val="Hyperlink"/>
    <w:semiHidden/>
    <w:rsid w:val="001B789F"/>
    <w:rPr>
      <w:color w:val="660000"/>
      <w:u w:val="single"/>
    </w:rPr>
  </w:style>
  <w:style w:type="paragraph" w:styleId="NormalWeb">
    <w:name w:val="Normal (Web)"/>
    <w:basedOn w:val="Normal"/>
    <w:semiHidden/>
    <w:rsid w:val="001B789F"/>
    <w:pPr>
      <w:spacing w:before="100" w:beforeAutospacing="1" w:after="100" w:afterAutospacing="1"/>
      <w:jc w:val="both"/>
    </w:pPr>
    <w:rPr>
      <w:sz w:val="24"/>
      <w:lang w:val="en-AU" w:eastAsia="en-AU"/>
    </w:rPr>
  </w:style>
  <w:style w:type="character" w:styleId="Nmerodepgina">
    <w:name w:val="page number"/>
    <w:basedOn w:val="Fuentedeprrafopredeter"/>
    <w:semiHidden/>
    <w:rsid w:val="001B789F"/>
  </w:style>
  <w:style w:type="character" w:styleId="Textoennegrita">
    <w:name w:val="Strong"/>
    <w:rsid w:val="001B789F"/>
    <w:rPr>
      <w:b/>
      <w:bCs/>
    </w:rPr>
  </w:style>
  <w:style w:type="table" w:styleId="Tablaconcuadrcula">
    <w:name w:val="Table Grid"/>
    <w:basedOn w:val="Tablanormal"/>
    <w:semiHidden/>
    <w:rsid w:val="001B7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semiHidden/>
    <w:rsid w:val="001B789F"/>
    <w:rPr>
      <w:rFonts w:ascii="Verdana" w:hAnsi="Verdana" w:hint="default"/>
      <w:b w:val="0"/>
      <w:bCs w:val="0"/>
      <w:i w:val="0"/>
      <w:iCs w:val="0"/>
      <w:caps w:val="0"/>
      <w:smallCaps w:val="0"/>
      <w:strike w:val="0"/>
      <w:dstrike w:val="0"/>
      <w:color w:val="585858"/>
      <w:sz w:val="12"/>
      <w:szCs w:val="12"/>
      <w:u w:val="none"/>
      <w:effect w:val="none"/>
    </w:rPr>
  </w:style>
  <w:style w:type="paragraph" w:customStyle="1" w:styleId="TexteFr">
    <w:name w:val="TexteFr"/>
    <w:basedOn w:val="Normal"/>
    <w:semiHidden/>
    <w:rsid w:val="001B789F"/>
    <w:pPr>
      <w:pBdr>
        <w:top w:val="single" w:sz="4" w:space="1" w:color="auto"/>
        <w:left w:val="single" w:sz="4" w:space="4" w:color="auto"/>
        <w:bottom w:val="single" w:sz="4" w:space="1" w:color="auto"/>
        <w:right w:val="single" w:sz="4" w:space="4" w:color="auto"/>
      </w:pBdr>
      <w:shd w:val="pct10" w:color="000000" w:fill="auto"/>
      <w:tabs>
        <w:tab w:val="left" w:pos="1711"/>
        <w:tab w:val="left" w:pos="2209"/>
        <w:tab w:val="left" w:pos="2760"/>
        <w:tab w:val="left" w:pos="5101"/>
        <w:tab w:val="left" w:pos="5886"/>
        <w:tab w:val="left" w:pos="7128"/>
      </w:tabs>
      <w:ind w:left="272" w:hanging="272"/>
      <w:jc w:val="both"/>
    </w:pPr>
    <w:rPr>
      <w:szCs w:val="22"/>
      <w:lang w:val="fr-FR" w:eastAsia="en-AU"/>
    </w:rPr>
  </w:style>
  <w:style w:type="paragraph" w:customStyle="1" w:styleId="TextEn">
    <w:name w:val="TextEn"/>
    <w:basedOn w:val="Normal"/>
    <w:semiHidden/>
    <w:rsid w:val="001B789F"/>
    <w:pPr>
      <w:spacing w:after="120"/>
    </w:pPr>
    <w:rPr>
      <w:szCs w:val="22"/>
    </w:rPr>
  </w:style>
  <w:style w:type="paragraph" w:customStyle="1" w:styleId="TextEnSingle">
    <w:name w:val="TextEnSingle"/>
    <w:basedOn w:val="TextEn"/>
    <w:semiHidden/>
    <w:rsid w:val="001B789F"/>
    <w:pPr>
      <w:spacing w:after="0"/>
    </w:pPr>
  </w:style>
  <w:style w:type="paragraph" w:customStyle="1" w:styleId="TextSp">
    <w:name w:val="TextSp"/>
    <w:basedOn w:val="Normal"/>
    <w:semiHidden/>
    <w:rsid w:val="001B789F"/>
    <w:pPr>
      <w:spacing w:after="120"/>
    </w:pPr>
    <w:rPr>
      <w:szCs w:val="22"/>
      <w:lang w:val="es-AR" w:eastAsia="es-ES"/>
    </w:rPr>
  </w:style>
  <w:style w:type="paragraph" w:styleId="TDC1">
    <w:name w:val="toc 1"/>
    <w:basedOn w:val="Normal"/>
    <w:next w:val="Normal"/>
    <w:autoRedefine/>
    <w:semiHidden/>
    <w:rsid w:val="001B789F"/>
    <w:rPr>
      <w:b/>
      <w:bCs/>
      <w:i/>
      <w:iCs/>
      <w:sz w:val="24"/>
    </w:rPr>
  </w:style>
  <w:style w:type="paragraph" w:styleId="TDC2">
    <w:name w:val="toc 2"/>
    <w:basedOn w:val="Normal"/>
    <w:next w:val="Normal"/>
    <w:autoRedefine/>
    <w:semiHidden/>
    <w:rsid w:val="001B789F"/>
    <w:pPr>
      <w:ind w:left="220"/>
    </w:pPr>
    <w:rPr>
      <w:b/>
      <w:bCs/>
      <w:szCs w:val="22"/>
    </w:rPr>
  </w:style>
  <w:style w:type="paragraph" w:styleId="TDC3">
    <w:name w:val="toc 3"/>
    <w:basedOn w:val="Normal"/>
    <w:next w:val="Normal"/>
    <w:autoRedefine/>
    <w:semiHidden/>
    <w:rsid w:val="001B789F"/>
    <w:pPr>
      <w:ind w:left="440"/>
    </w:pPr>
    <w:rPr>
      <w:sz w:val="20"/>
      <w:szCs w:val="20"/>
    </w:rPr>
  </w:style>
  <w:style w:type="paragraph" w:styleId="TDC4">
    <w:name w:val="toc 4"/>
    <w:basedOn w:val="Normal"/>
    <w:next w:val="Normal"/>
    <w:autoRedefine/>
    <w:semiHidden/>
    <w:rsid w:val="001B789F"/>
    <w:pPr>
      <w:ind w:left="660"/>
    </w:pPr>
    <w:rPr>
      <w:sz w:val="20"/>
      <w:szCs w:val="20"/>
    </w:rPr>
  </w:style>
  <w:style w:type="paragraph" w:styleId="TDC5">
    <w:name w:val="toc 5"/>
    <w:basedOn w:val="Normal"/>
    <w:next w:val="Normal"/>
    <w:autoRedefine/>
    <w:semiHidden/>
    <w:rsid w:val="001B789F"/>
    <w:pPr>
      <w:ind w:left="880"/>
    </w:pPr>
    <w:rPr>
      <w:sz w:val="20"/>
      <w:szCs w:val="20"/>
    </w:rPr>
  </w:style>
  <w:style w:type="paragraph" w:styleId="TDC6">
    <w:name w:val="toc 6"/>
    <w:basedOn w:val="Normal"/>
    <w:next w:val="Normal"/>
    <w:autoRedefine/>
    <w:semiHidden/>
    <w:rsid w:val="001B789F"/>
    <w:pPr>
      <w:ind w:left="1100"/>
    </w:pPr>
    <w:rPr>
      <w:sz w:val="20"/>
      <w:szCs w:val="20"/>
    </w:rPr>
  </w:style>
  <w:style w:type="paragraph" w:styleId="TDC7">
    <w:name w:val="toc 7"/>
    <w:basedOn w:val="Normal"/>
    <w:next w:val="Normal"/>
    <w:autoRedefine/>
    <w:semiHidden/>
    <w:rsid w:val="001B789F"/>
    <w:pPr>
      <w:ind w:left="1320"/>
    </w:pPr>
    <w:rPr>
      <w:sz w:val="20"/>
      <w:szCs w:val="20"/>
    </w:rPr>
  </w:style>
  <w:style w:type="paragraph" w:styleId="TDC8">
    <w:name w:val="toc 8"/>
    <w:basedOn w:val="Normal"/>
    <w:next w:val="Normal"/>
    <w:autoRedefine/>
    <w:semiHidden/>
    <w:rsid w:val="001B789F"/>
    <w:pPr>
      <w:ind w:left="1540"/>
    </w:pPr>
    <w:rPr>
      <w:sz w:val="20"/>
      <w:szCs w:val="20"/>
    </w:rPr>
  </w:style>
  <w:style w:type="paragraph" w:styleId="TDC9">
    <w:name w:val="toc 9"/>
    <w:basedOn w:val="Normal"/>
    <w:next w:val="Normal"/>
    <w:autoRedefine/>
    <w:semiHidden/>
    <w:rsid w:val="001B789F"/>
    <w:pPr>
      <w:ind w:left="1760"/>
    </w:pPr>
    <w:rPr>
      <w:sz w:val="20"/>
      <w:szCs w:val="20"/>
    </w:rPr>
  </w:style>
  <w:style w:type="paragraph" w:customStyle="1" w:styleId="TytApp">
    <w:name w:val="Tyt. App."/>
    <w:basedOn w:val="Normal"/>
    <w:autoRedefine/>
    <w:semiHidden/>
    <w:rsid w:val="001B789F"/>
    <w:pPr>
      <w:widowControl w:val="0"/>
      <w:numPr>
        <w:ilvl w:val="12"/>
      </w:numPr>
      <w:tabs>
        <w:tab w:val="left" w:pos="90"/>
        <w:tab w:val="left" w:pos="737"/>
        <w:tab w:val="left" w:pos="2835"/>
      </w:tabs>
      <w:spacing w:before="180" w:after="40" w:line="260" w:lineRule="exact"/>
      <w:jc w:val="center"/>
    </w:pPr>
    <w:rPr>
      <w:b/>
      <w:snapToGrid w:val="0"/>
      <w:color w:val="000000"/>
      <w:sz w:val="24"/>
      <w:szCs w:val="20"/>
      <w:lang w:eastAsia="es-ES"/>
    </w:rPr>
  </w:style>
  <w:style w:type="paragraph" w:styleId="Prrafodelista">
    <w:name w:val="List Paragraph"/>
    <w:basedOn w:val="Normal"/>
    <w:uiPriority w:val="34"/>
    <w:rsid w:val="00BF077B"/>
    <w:pPr>
      <w:ind w:left="720"/>
    </w:pPr>
  </w:style>
  <w:style w:type="character" w:styleId="Ttulodellibro">
    <w:name w:val="Book Title"/>
    <w:uiPriority w:val="33"/>
    <w:rsid w:val="00BF077B"/>
    <w:rPr>
      <w:b/>
      <w:bCs/>
      <w:smallCaps/>
      <w:spacing w:val="5"/>
    </w:rPr>
  </w:style>
  <w:style w:type="paragraph" w:customStyle="1" w:styleId="ATSMeasureEmphasis">
    <w:name w:val="ATS Measure Emphasis"/>
    <w:basedOn w:val="Normal"/>
    <w:qFormat/>
    <w:rsid w:val="009E64FE"/>
    <w:pPr>
      <w:spacing w:before="120" w:after="360"/>
    </w:pPr>
    <w:rPr>
      <w:b/>
      <w:sz w:val="24"/>
      <w:lang w:eastAsia="en-GB"/>
    </w:rPr>
  </w:style>
  <w:style w:type="paragraph" w:customStyle="1" w:styleId="ASNormal">
    <w:name w:val="AS Normal"/>
    <w:basedOn w:val="Normal"/>
    <w:link w:val="ASNormalChar"/>
    <w:qFormat/>
    <w:rsid w:val="00F60C28"/>
    <w:pPr>
      <w:spacing w:before="120" w:after="120"/>
    </w:pPr>
    <w:rPr>
      <w:lang w:eastAsia="en-GB"/>
    </w:rPr>
  </w:style>
  <w:style w:type="character" w:customStyle="1" w:styleId="ASNormalChar">
    <w:name w:val="AS Normal Char"/>
    <w:link w:val="ASNormal"/>
    <w:locked/>
    <w:rsid w:val="00F60C28"/>
    <w:rPr>
      <w:sz w:val="22"/>
      <w:szCs w:val="24"/>
      <w:lang w:val="en-GB" w:eastAsia="en-GB"/>
    </w:rPr>
  </w:style>
  <w:style w:type="character" w:customStyle="1" w:styleId="ATSHeading2Char">
    <w:name w:val="ATS Heading 2 Char"/>
    <w:link w:val="ATSHeading2"/>
    <w:locked/>
    <w:rsid w:val="00F60C28"/>
    <w:rPr>
      <w:rFonts w:ascii="Arial" w:hAnsi="Arial"/>
      <w:b/>
      <w:i/>
      <w:sz w:val="24"/>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scitotenv.2021.147698" TargetMode="External"/><Relationship Id="rId26" Type="http://schemas.openxmlformats.org/officeDocument/2006/relationships/hyperlink" Target="https://doi.org/10.1787/de747aef-en" TargetMode="External"/><Relationship Id="rId21" Type="http://schemas.openxmlformats.org/officeDocument/2006/relationships/hyperlink" Target="https://doi.org/10.1016/j.marpolbul.2016.09.037" TargetMode="External"/><Relationship Id="rId34" Type="http://schemas.openxmlformats.org/officeDocument/2006/relationships/hyperlink" Target="https://doi.org/10.1016/j.scitotenv.2017.03.28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scitotenv.2021.147698" TargetMode="External"/><Relationship Id="rId25" Type="http://schemas.openxmlformats.org/officeDocument/2006/relationships/hyperlink" Target="https://doi.org/10.1016/j.marpolbul.2016.09.025" TargetMode="External"/><Relationship Id="rId33" Type="http://schemas.openxmlformats.org/officeDocument/2006/relationships/hyperlink" Target="https://doi.org/10.1016/j.scitotenv.2017.03.283"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38/s41467-018-03465-9" TargetMode="External"/><Relationship Id="rId20" Type="http://schemas.openxmlformats.org/officeDocument/2006/relationships/hyperlink" Target="https://doi.org/10.1016/j.marpolbul.2024.116257" TargetMode="External"/><Relationship Id="rId29" Type="http://schemas.openxmlformats.org/officeDocument/2006/relationships/hyperlink" Target="https://doi.org/10.1016/j.scitotenv.2024.1706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marpolbul.2016.09.025" TargetMode="External"/><Relationship Id="rId32" Type="http://schemas.openxmlformats.org/officeDocument/2006/relationships/hyperlink" Target="https://doi.org/10.3390/environments907009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194/tc-16-2127-2022" TargetMode="External"/><Relationship Id="rId23" Type="http://schemas.openxmlformats.org/officeDocument/2006/relationships/hyperlink" Target="https://doi.org/10.1038/s41598-019-40311-4" TargetMode="External"/><Relationship Id="rId28" Type="http://schemas.openxmlformats.org/officeDocument/2006/relationships/hyperlink" Target="https://www.pewtrusts.org/en/-research-and-analysis/articles/2020/07/23/breaking-the-plastic-wave-top-findings"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016/j.marpolbul.2024.116257" TargetMode="External"/><Relationship Id="rId31" Type="http://schemas.openxmlformats.org/officeDocument/2006/relationships/hyperlink" Target="https://doi.org/10.3389/fmars.2024.134361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5194/tc-16-2127-2022" TargetMode="External"/><Relationship Id="rId22" Type="http://schemas.openxmlformats.org/officeDocument/2006/relationships/hyperlink" Target="https://doi.org/10.1016/j.marpolbul.2016.09.037" TargetMode="External"/><Relationship Id="rId27" Type="http://schemas.openxmlformats.org/officeDocument/2006/relationships/hyperlink" Target="https://www.pewtrusts.org/en/-research-and-analysis/articles/2020/07/23/breaking-the-plastic-wave-top-findings" TargetMode="External"/><Relationship Id="rId30" Type="http://schemas.openxmlformats.org/officeDocument/2006/relationships/hyperlink" Target="https://doi.org/10.3389/fmars.2024.1343617"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D6A62-F981-4292-A123-1E093CC7E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2111</Words>
  <Characters>14358</Characters>
  <Application>Microsoft Office Word</Application>
  <DocSecurity>0</DocSecurity>
  <Lines>119</Lines>
  <Paragraphs>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title:)</vt:lpstr>
      <vt:lpstr>(Paper title:)</vt:lpstr>
    </vt:vector>
  </TitlesOfParts>
  <Company>ATS</Company>
  <LinksUpToDate>false</LinksUpToDate>
  <CharactersWithSpaces>16437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dc:title>
  <dc:creator>Jose Luis Agraz</dc:creator>
  <cp:lastModifiedBy>Jose Luis Agraz</cp:lastModifiedBy>
  <cp:revision>3</cp:revision>
  <cp:lastPrinted>2008-01-22T18:20:00Z</cp:lastPrinted>
  <dcterms:created xsi:type="dcterms:W3CDTF">2023-12-12T12:08:00Z</dcterms:created>
  <dcterms:modified xsi:type="dcterms:W3CDTF">2024-04-24T18:07:00Z</dcterms:modified>
</cp:coreProperties>
</file>